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4" w:rsidRDefault="008D6794" w:rsidP="001B716A">
      <w:pPr>
        <w:rPr>
          <w:lang w:val="en-US"/>
        </w:rPr>
      </w:pPr>
      <w:bookmarkStart w:id="0" w:name="_GoBack"/>
      <w:bookmarkEnd w:id="0"/>
      <w:r>
        <w:rPr>
          <w:lang w:val="en-US"/>
        </w:rPr>
        <w:t>Raud</w:t>
      </w:r>
      <w:r w:rsidR="008C6753">
        <w:rPr>
          <w:lang w:val="en-US"/>
        </w:rPr>
        <w:t>i krossinn</w:t>
      </w:r>
    </w:p>
    <w:p w:rsidR="006223DE" w:rsidRPr="000514E2" w:rsidRDefault="006223DE" w:rsidP="001B716A">
      <w:pPr>
        <w:rPr>
          <w:lang w:val="en-US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2268"/>
      </w:tblGrid>
      <w:tr w:rsidR="008C6753" w:rsidRPr="000514E2" w:rsidTr="00B016FD">
        <w:tc>
          <w:tcPr>
            <w:tcW w:w="7370" w:type="dxa"/>
            <w:tcBorders>
              <w:right w:val="single" w:sz="4" w:space="0" w:color="BFBFBF" w:themeColor="background1" w:themeShade="BF"/>
            </w:tcBorders>
          </w:tcPr>
          <w:p w:rsidR="008C6753" w:rsidRPr="008C6753" w:rsidRDefault="008C6753" w:rsidP="00D55913">
            <w:pPr>
              <w:ind w:left="-113"/>
              <w:jc w:val="both"/>
              <w:rPr>
                <w:noProof/>
                <w:lang w:val="is-IS"/>
              </w:rPr>
            </w:pPr>
            <w:r w:rsidRPr="008C6753">
              <w:rPr>
                <w:noProof/>
                <w:lang w:val="is-IS"/>
              </w:rPr>
              <w:t>Hreyfing</w:t>
            </w:r>
            <w:r w:rsidR="006C26E2">
              <w:rPr>
                <w:noProof/>
                <w:lang w:val="is-IS"/>
              </w:rPr>
              <w:t xml:space="preserve">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 xml:space="preserve">a krossins og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>a hálfmánans er útbreiddasta og fjölmennasta mannúðarhreyfing heims með starfsemi í flestum ríkjum</w:t>
            </w:r>
            <w:r w:rsidR="00507F6C">
              <w:rPr>
                <w:noProof/>
                <w:lang w:val="is-IS"/>
              </w:rPr>
              <w:t xml:space="preserve">.  </w:t>
            </w:r>
            <w:r w:rsidRPr="008C6753">
              <w:rPr>
                <w:noProof/>
                <w:lang w:val="is-IS"/>
              </w:rPr>
              <w:t>Tilgangur hreyfingarinnar er að vernda líf og heilsu berskjaldaðra hópa og tryggja virðingu fyrir mannlegu lífi</w:t>
            </w:r>
            <w:r w:rsidR="00507F6C">
              <w:rPr>
                <w:noProof/>
                <w:lang w:val="is-IS"/>
              </w:rPr>
              <w:t xml:space="preserve">.  </w:t>
            </w:r>
            <w:r w:rsidRPr="008C6753">
              <w:rPr>
                <w:noProof/>
                <w:lang w:val="is-IS"/>
              </w:rPr>
              <w:t>Hreyfing</w:t>
            </w:r>
            <w:r w:rsidR="00D55913">
              <w:rPr>
                <w:noProof/>
                <w:lang w:val="is-IS"/>
              </w:rPr>
              <w:t>in byggist á sjálfboðnu starfi.</w:t>
            </w:r>
          </w:p>
          <w:p w:rsidR="007D0C04" w:rsidRPr="00D55913" w:rsidRDefault="008C6753" w:rsidP="00D55913">
            <w:pPr>
              <w:ind w:left="-113" w:firstLine="567"/>
              <w:jc w:val="both"/>
              <w:rPr>
                <w:rStyle w:val="TextiChar"/>
                <w:rFonts w:asciiTheme="minorHAnsi" w:hAnsiTheme="minorHAnsi"/>
                <w:noProof/>
                <w:szCs w:val="20"/>
                <w:lang w:val="is-IS"/>
              </w:rPr>
            </w:pPr>
            <w:r w:rsidRPr="008C6753">
              <w:rPr>
                <w:noProof/>
                <w:lang w:val="is-IS"/>
              </w:rPr>
              <w:t xml:space="preserve">Landsfélög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 xml:space="preserve">a krossins og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>a hálfmánans veita aðstoð og dreifa hjálpargögnum í hverju landi fyrir sig</w:t>
            </w:r>
            <w:r w:rsidR="00507F6C">
              <w:rPr>
                <w:noProof/>
                <w:lang w:val="is-IS"/>
              </w:rPr>
              <w:t xml:space="preserve">.  </w:t>
            </w:r>
            <w:r w:rsidRPr="008C6753">
              <w:rPr>
                <w:noProof/>
                <w:lang w:val="is-IS"/>
              </w:rPr>
              <w:t xml:space="preserve">Þannig tryggir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>akrosshreyfingin að hjálpin komist beint til skila til þeirra hópa sem mest þurfa á aðstoð að halda</w:t>
            </w:r>
            <w:r w:rsidR="00507F6C">
              <w:rPr>
                <w:noProof/>
                <w:lang w:val="is-IS"/>
              </w:rPr>
              <w:t xml:space="preserve">.  </w:t>
            </w:r>
            <w:r w:rsidRPr="008C6753">
              <w:rPr>
                <w:noProof/>
                <w:lang w:val="is-IS"/>
              </w:rPr>
              <w:t xml:space="preserve">Landsfélög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 xml:space="preserve">a krossins og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 xml:space="preserve">a hálfmánans eru 190 en einungis eitt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>a kross félag má starfa í hverju landi</w:t>
            </w:r>
            <w:r w:rsidR="00507F6C">
              <w:rPr>
                <w:noProof/>
                <w:lang w:val="is-IS"/>
              </w:rPr>
              <w:t xml:space="preserve">.  </w:t>
            </w:r>
            <w:r w:rsidRPr="008C6753">
              <w:rPr>
                <w:noProof/>
                <w:lang w:val="is-IS"/>
              </w:rPr>
              <w:t xml:space="preserve">Saman mynda Alþjóðaráð </w:t>
            </w:r>
            <w:r w:rsidR="008D6794">
              <w:rPr>
                <w:noProof/>
                <w:lang w:val="is-IS"/>
              </w:rPr>
              <w:t>Raud</w:t>
            </w:r>
            <w:r w:rsidRPr="008C6753">
              <w:rPr>
                <w:noProof/>
                <w:lang w:val="is-IS"/>
              </w:rPr>
              <w:t xml:space="preserve">a krossins, Alþjóðasambandið og landsfélögin, alþjóðahreyfingu </w:t>
            </w:r>
            <w:r w:rsidR="008D6794">
              <w:rPr>
                <w:noProof/>
                <w:lang w:val="is-IS"/>
              </w:rPr>
              <w:t>Raud</w:t>
            </w:r>
            <w:r w:rsidR="00D55913">
              <w:rPr>
                <w:noProof/>
                <w:lang w:val="is-IS"/>
              </w:rPr>
              <w:t xml:space="preserve">a krossins og </w:t>
            </w:r>
            <w:r w:rsidR="008D6794">
              <w:rPr>
                <w:noProof/>
                <w:lang w:val="is-IS"/>
              </w:rPr>
              <w:t>Raud</w:t>
            </w:r>
            <w:r w:rsidR="00D55913">
              <w:rPr>
                <w:noProof/>
                <w:lang w:val="is-IS"/>
              </w:rPr>
              <w:t>a hálfmánans.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0C04" w:rsidRPr="001B716A" w:rsidRDefault="001F6ACD" w:rsidP="00E76526">
            <w:pPr>
              <w:keepNext/>
              <w:rPr>
                <w:rStyle w:val="TextiChar"/>
                <w:rFonts w:asciiTheme="minorHAnsi" w:hAnsiTheme="minorHAnsi"/>
                <w:szCs w:val="20"/>
              </w:rPr>
            </w:pPr>
            <w:r w:rsidRPr="008C6753">
              <w:rPr>
                <w:noProof/>
                <w:lang w:val="is-IS" w:eastAsia="is-IS"/>
              </w:rPr>
              <w:drawing>
                <wp:inline distT="0" distB="0" distL="0" distR="0" wp14:anchorId="48395533" wp14:editId="5A866D87">
                  <wp:extent cx="944880" cy="782320"/>
                  <wp:effectExtent l="0" t="0" r="7620" b="0"/>
                  <wp:docPr id="3" name="Picture 3" descr="Image result for rauÃ°i kross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auÃ°i krossi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05"/>
                          <a:stretch/>
                        </pic:blipFill>
                        <pic:spPr bwMode="auto">
                          <a:xfrm>
                            <a:off x="0" y="0"/>
                            <a:ext cx="9448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2EC" w:rsidRDefault="008C6753" w:rsidP="00CD12AD">
      <w:pPr>
        <w:ind w:firstLine="567"/>
        <w:jc w:val="both"/>
        <w:rPr>
          <w:noProof/>
        </w:rPr>
      </w:pPr>
      <w:bookmarkStart w:id="1" w:name="_Toc39553661"/>
      <w:bookmarkStart w:id="2" w:name="_Toc39824188"/>
      <w:bookmarkStart w:id="3" w:name="_Toc39824212"/>
      <w:bookmarkStart w:id="4" w:name="_Toc39828645"/>
      <w:bookmarkStart w:id="5" w:name="_Toc64470007"/>
      <w:r w:rsidRPr="008C6753">
        <w:rPr>
          <w:noProof/>
        </w:rPr>
        <w:t xml:space="preserve">Alþjóðaráð </w:t>
      </w:r>
      <w:r w:rsidR="008D6794">
        <w:rPr>
          <w:noProof/>
        </w:rPr>
        <w:t>Raud</w:t>
      </w:r>
      <w:r w:rsidRPr="008C6753">
        <w:rPr>
          <w:noProof/>
        </w:rPr>
        <w:t>a krossins (ICRC) var stofnað 20</w:t>
      </w:r>
      <w:r w:rsidR="00507F6C">
        <w:rPr>
          <w:noProof/>
        </w:rPr>
        <w:t xml:space="preserve">.  </w:t>
      </w:r>
      <w:r w:rsidRPr="008C6753">
        <w:rPr>
          <w:noProof/>
        </w:rPr>
        <w:t xml:space="preserve">október 1863 og Alþjóðasamband landsfélaga </w:t>
      </w:r>
      <w:r w:rsidR="008D6794">
        <w:rPr>
          <w:noProof/>
        </w:rPr>
        <w:t>Raud</w:t>
      </w:r>
      <w:r w:rsidRPr="008C6753">
        <w:rPr>
          <w:noProof/>
        </w:rPr>
        <w:t xml:space="preserve">a krossins og </w:t>
      </w:r>
      <w:r w:rsidR="008D6794">
        <w:rPr>
          <w:noProof/>
        </w:rPr>
        <w:t>Raud</w:t>
      </w:r>
      <w:r w:rsidRPr="008C6753">
        <w:rPr>
          <w:noProof/>
        </w:rPr>
        <w:t>a hálfmánans</w:t>
      </w:r>
      <w:r w:rsidR="001F6ACD">
        <w:rPr>
          <w:noProof/>
        </w:rPr>
        <w:t xml:space="preserve"> var stofnað árið 1919</w:t>
      </w:r>
      <w:r w:rsidR="00507F6C">
        <w:rPr>
          <w:noProof/>
        </w:rPr>
        <w:t xml:space="preserve">.  </w:t>
      </w:r>
      <w:r w:rsidRPr="008C6753">
        <w:rPr>
          <w:noProof/>
        </w:rPr>
        <w:t xml:space="preserve">Stofnandi </w:t>
      </w:r>
      <w:r w:rsidR="008D6794">
        <w:rPr>
          <w:noProof/>
        </w:rPr>
        <w:t>Raud</w:t>
      </w:r>
      <w:r w:rsidRPr="008C6753">
        <w:rPr>
          <w:noProof/>
        </w:rPr>
        <w:t xml:space="preserve">a krossins var </w:t>
      </w:r>
      <w:r w:rsidR="00D55913">
        <w:rPr>
          <w:noProof/>
        </w:rPr>
        <w:t>Svisslendingurinn Henry Dunant.</w:t>
      </w:r>
    </w:p>
    <w:p w:rsidR="007728EB" w:rsidRDefault="007728EB" w:rsidP="007D5B37">
      <w:pPr>
        <w:jc w:val="both"/>
        <w:rPr>
          <w:noProof/>
          <w:lang w:val="en-US"/>
        </w:rPr>
      </w:pPr>
    </w:p>
    <w:p w:rsidR="007D0C04" w:rsidRPr="00E76526" w:rsidRDefault="001F6ACD" w:rsidP="00E76526">
      <w:pPr>
        <w:rPr>
          <w:b/>
          <w:lang w:val="en-US"/>
        </w:rPr>
      </w:pPr>
      <w:r>
        <w:rPr>
          <w:b/>
          <w:lang w:val="en-US"/>
        </w:rPr>
        <w:t>Alþjóðaráð Rau</w:t>
      </w:r>
      <w:r w:rsidR="008D65A4">
        <w:rPr>
          <w:b/>
          <w:lang w:val="en-US"/>
        </w:rPr>
        <w:t>d</w:t>
      </w:r>
      <w:r>
        <w:rPr>
          <w:b/>
          <w:lang w:val="en-US"/>
        </w:rPr>
        <w:t xml:space="preserve">a krossins </w:t>
      </w:r>
      <w:r w:rsidR="00D55913">
        <w:rPr>
          <w:b/>
          <w:lang w:val="en-US"/>
        </w:rPr>
        <w:t>ICRC</w:t>
      </w:r>
    </w:p>
    <w:p w:rsidR="00D55913" w:rsidRPr="00D55913" w:rsidRDefault="00D55913" w:rsidP="008B200D">
      <w:pPr>
        <w:spacing w:after="120"/>
        <w:rPr>
          <w:bCs/>
          <w:lang w:val="is-IS"/>
        </w:rPr>
      </w:pPr>
      <w:r w:rsidRPr="00D55913">
        <w:rPr>
          <w:bCs/>
          <w:lang w:val="is-IS"/>
        </w:rPr>
        <w:t xml:space="preserve">Alþjóðaráð </w:t>
      </w:r>
      <w:r w:rsidR="008D6794">
        <w:rPr>
          <w:bCs/>
          <w:lang w:val="is-IS"/>
        </w:rPr>
        <w:t xml:space="preserve"> Raud</w:t>
      </w:r>
      <w:r w:rsidRPr="00D55913">
        <w:rPr>
          <w:bCs/>
          <w:lang w:val="is-IS"/>
        </w:rPr>
        <w:t>a krossins (ICRC) var stofnað 20</w:t>
      </w:r>
      <w:r w:rsidR="00507F6C">
        <w:rPr>
          <w:bCs/>
          <w:lang w:val="is-IS"/>
        </w:rPr>
        <w:t xml:space="preserve">.  </w:t>
      </w:r>
      <w:r w:rsidRPr="00D55913">
        <w:rPr>
          <w:bCs/>
          <w:lang w:val="is-IS"/>
        </w:rPr>
        <w:t xml:space="preserve">október 1863 og Alþjóðasamband landsfélaga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 xml:space="preserve">a krossins og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 xml:space="preserve">a hálfmánans var </w:t>
      </w:r>
      <w:r>
        <w:rPr>
          <w:bCs/>
          <w:lang w:val="is-IS"/>
        </w:rPr>
        <w:t>stofnað árið 1919</w:t>
      </w:r>
      <w:r w:rsidR="00507F6C">
        <w:rPr>
          <w:bCs/>
          <w:lang w:val="is-IS"/>
        </w:rPr>
        <w:t xml:space="preserve">.  </w:t>
      </w:r>
      <w:r w:rsidRPr="00D55913">
        <w:rPr>
          <w:bCs/>
          <w:lang w:val="is-IS"/>
        </w:rPr>
        <w:t xml:space="preserve">Stofnandi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 xml:space="preserve">a krossins var </w:t>
      </w:r>
      <w:r>
        <w:rPr>
          <w:bCs/>
          <w:lang w:val="is-IS"/>
        </w:rPr>
        <w:t>Svisslendingurinn Henry Dunant.</w:t>
      </w:r>
    </w:p>
    <w:p w:rsidR="00D55913" w:rsidRPr="00D55913" w:rsidRDefault="00D55913" w:rsidP="008B200D">
      <w:pPr>
        <w:jc w:val="both"/>
        <w:rPr>
          <w:bCs/>
          <w:lang w:val="is-IS"/>
        </w:rPr>
      </w:pPr>
      <w:r w:rsidRPr="00D55913">
        <w:rPr>
          <w:bCs/>
          <w:lang w:val="is-IS"/>
        </w:rPr>
        <w:t xml:space="preserve">Alþjóðlegt hjálparstarf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>a krossins á Íslandi nær á hverju ári til þúsunda fórnarlamba hamfara, ófrið</w:t>
      </w:r>
      <w:r>
        <w:rPr>
          <w:bCs/>
          <w:lang w:val="is-IS"/>
        </w:rPr>
        <w:t>ar og örbirgðar um allan heim</w:t>
      </w:r>
      <w:r w:rsidR="00507F6C">
        <w:rPr>
          <w:bCs/>
          <w:lang w:val="is-IS"/>
        </w:rPr>
        <w:t xml:space="preserve">.  </w:t>
      </w:r>
      <w:r w:rsidRPr="00D55913">
        <w:rPr>
          <w:bCs/>
          <w:lang w:val="is-IS"/>
        </w:rPr>
        <w:t xml:space="preserve">Á Íslandi miðast starf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 xml:space="preserve">a </w:t>
      </w:r>
      <w:r w:rsidR="008D6794">
        <w:rPr>
          <w:bCs/>
          <w:lang w:val="is-IS"/>
        </w:rPr>
        <w:t xml:space="preserve"> </w:t>
      </w:r>
      <w:r w:rsidRPr="00D55913">
        <w:rPr>
          <w:bCs/>
          <w:lang w:val="is-IS"/>
        </w:rPr>
        <w:t>krossins að því að bæta og efla íslenskt samfélag og bregðast við á neyðarstundu</w:t>
      </w:r>
      <w:r w:rsidR="00507F6C">
        <w:rPr>
          <w:bCs/>
          <w:lang w:val="is-IS"/>
        </w:rPr>
        <w:t xml:space="preserve">. 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>i krossinn er hluti af almannavörnum ríkisins og hefur þannig viðamiklu hlutverki að gegna þegar vá ber að garði í samstarfi við önnur hjálparsamtök og stofnanir ríkisins sem eru einnig hluti af almannavörnum</w:t>
      </w:r>
      <w:r w:rsidR="00507F6C">
        <w:rPr>
          <w:bCs/>
          <w:lang w:val="is-IS"/>
        </w:rPr>
        <w:t xml:space="preserve">.  </w:t>
      </w:r>
      <w:r w:rsidR="008D6794">
        <w:rPr>
          <w:bCs/>
          <w:lang w:val="is-IS"/>
        </w:rPr>
        <w:t>Raud</w:t>
      </w:r>
      <w:r w:rsidRPr="00D55913">
        <w:rPr>
          <w:bCs/>
          <w:lang w:val="is-IS"/>
        </w:rPr>
        <w:t>i krossinn</w:t>
      </w:r>
      <w:r>
        <w:rPr>
          <w:bCs/>
          <w:lang w:val="is-IS"/>
        </w:rPr>
        <w:t xml:space="preserve"> á Íslandi er samansettur af 42 </w:t>
      </w:r>
      <w:r w:rsidRPr="00D55913">
        <w:rPr>
          <w:bCs/>
          <w:lang w:val="is-IS"/>
        </w:rPr>
        <w:t>deildum</w:t>
      </w:r>
      <w:r>
        <w:rPr>
          <w:bCs/>
          <w:lang w:val="is-IS"/>
        </w:rPr>
        <w:t xml:space="preserve"> </w:t>
      </w:r>
      <w:r w:rsidRPr="00D55913">
        <w:rPr>
          <w:bCs/>
          <w:lang w:val="is-IS"/>
        </w:rPr>
        <w:t>sem staðsettar eru hringinn í kringum landið ásamt landsskrifstofu</w:t>
      </w:r>
      <w:r>
        <w:rPr>
          <w:bCs/>
          <w:lang w:val="is-IS"/>
        </w:rPr>
        <w:t xml:space="preserve"> sem hefur aðsetur í Reykjavík.</w:t>
      </w:r>
    </w:p>
    <w:p w:rsidR="000975A3" w:rsidRPr="00E76526" w:rsidRDefault="00DA71B1" w:rsidP="00E76526">
      <w:pPr>
        <w:rPr>
          <w:b/>
          <w:lang w:val="en-US"/>
        </w:rPr>
      </w:pPr>
      <w:r>
        <w:rPr>
          <w:b/>
          <w:lang w:val="en-US"/>
        </w:rPr>
        <w:t>Alþjóðahreyfingin</w:t>
      </w:r>
    </w:p>
    <w:p w:rsidR="00DA71B1" w:rsidRPr="00DA71B1" w:rsidRDefault="00DA71B1" w:rsidP="008B200D">
      <w:pPr>
        <w:jc w:val="both"/>
        <w:rPr>
          <w:lang w:val="is-IS"/>
        </w:rPr>
      </w:pPr>
      <w:r w:rsidRPr="00DA71B1">
        <w:rPr>
          <w:lang w:val="is-IS"/>
        </w:rPr>
        <w:t xml:space="preserve">Ein </w:t>
      </w:r>
      <w:r w:rsidR="008D6794">
        <w:rPr>
          <w:lang w:val="is-IS"/>
        </w:rPr>
        <w:t xml:space="preserve"> </w:t>
      </w:r>
      <w:r w:rsidRPr="00DA71B1">
        <w:rPr>
          <w:lang w:val="is-IS"/>
        </w:rPr>
        <w:t>mesta orrusta í styrjöldinni milli Austurríkismanna og Frakka um miðbik 19</w:t>
      </w:r>
      <w:r w:rsidR="00507F6C">
        <w:rPr>
          <w:lang w:val="is-IS"/>
        </w:rPr>
        <w:t xml:space="preserve">.  </w:t>
      </w:r>
      <w:r w:rsidRPr="00DA71B1">
        <w:rPr>
          <w:lang w:val="is-IS"/>
        </w:rPr>
        <w:t>aldar átti sér stað á völlunum við Solferino á Norður-Ítalíu árið 1859</w:t>
      </w:r>
      <w:r w:rsidR="00507F6C">
        <w:rPr>
          <w:lang w:val="is-IS"/>
        </w:rPr>
        <w:t xml:space="preserve">.  </w:t>
      </w:r>
      <w:r w:rsidRPr="00DA71B1">
        <w:rPr>
          <w:lang w:val="is-IS"/>
        </w:rPr>
        <w:t>Þar börðust liðlega 300 þúsund manns og undir lokin lágu um 40 þúsund í valnum fallnir eða særðir.</w:t>
      </w:r>
    </w:p>
    <w:p w:rsidR="00DA71B1" w:rsidRPr="00DA71B1" w:rsidRDefault="00DA71B1" w:rsidP="008B200D">
      <w:pPr>
        <w:jc w:val="both"/>
        <w:rPr>
          <w:lang w:val="is-IS"/>
        </w:rPr>
      </w:pPr>
      <w:r w:rsidRPr="00DA71B1">
        <w:rPr>
          <w:lang w:val="is-IS"/>
        </w:rPr>
        <w:t>Ungur svissneskur kaupsýslumaður, Henry Dunant að nafni, átti leið um héraðið á sama tíma og það sem hann sá fékk mikið á hann</w:t>
      </w:r>
      <w:r w:rsidR="00507F6C">
        <w:rPr>
          <w:lang w:val="is-IS"/>
        </w:rPr>
        <w:t xml:space="preserve">.  </w:t>
      </w:r>
      <w:r w:rsidRPr="00DA71B1">
        <w:rPr>
          <w:lang w:val="is-IS"/>
        </w:rPr>
        <w:t xml:space="preserve">Hann tókst á hendur að skipuleggja hjálparstarf á vígvellinum með aðstoð kvenna úr nærliggjandi þorpum en </w:t>
      </w:r>
      <w:r w:rsidR="008D6794">
        <w:rPr>
          <w:lang w:val="is-IS"/>
        </w:rPr>
        <w:t xml:space="preserve"> </w:t>
      </w:r>
      <w:r w:rsidRPr="00DA71B1">
        <w:rPr>
          <w:lang w:val="is-IS"/>
        </w:rPr>
        <w:t>hjúkrunarsveitir hersins voru óskipulagðar og réðu engan veginn við verkefnið</w:t>
      </w:r>
      <w:r w:rsidR="00507F6C">
        <w:rPr>
          <w:lang w:val="is-IS"/>
        </w:rPr>
        <w:t xml:space="preserve">.  </w:t>
      </w:r>
      <w:r w:rsidRPr="00DA71B1">
        <w:rPr>
          <w:lang w:val="is-IS"/>
        </w:rPr>
        <w:t>Hjálparstarfið fór fram undir kjörorðinu "Tutti fratelli" eða „allir eru bræður." Þetta þýddi að hjálparliðið kom öllum særðum hermönnum á vígvellinum til hjálpar án tillits til þess hvaða liði þeir tilheyrðu</w:t>
      </w:r>
      <w:r w:rsidR="00507F6C">
        <w:rPr>
          <w:lang w:val="is-IS"/>
        </w:rPr>
        <w:t xml:space="preserve">.  </w:t>
      </w:r>
      <w:r w:rsidRPr="00DA71B1">
        <w:rPr>
          <w:lang w:val="is-IS"/>
        </w:rPr>
        <w:t xml:space="preserve">Þarna birtist í hnotskurn það hlutleysi sem alla tíð síðan hefur einkennt starfsemi </w:t>
      </w:r>
      <w:r w:rsidR="008D6794">
        <w:rPr>
          <w:lang w:val="is-IS"/>
        </w:rPr>
        <w:t>Raud</w:t>
      </w:r>
      <w:r w:rsidRPr="00DA71B1">
        <w:rPr>
          <w:lang w:val="is-IS"/>
        </w:rPr>
        <w:t>a krossins.</w:t>
      </w:r>
    </w:p>
    <w:p w:rsidR="00CD4BED" w:rsidRPr="00E76526" w:rsidRDefault="00DA71B1" w:rsidP="00E76526">
      <w:pPr>
        <w:rPr>
          <w:b/>
          <w:lang w:val="en-US"/>
        </w:rPr>
      </w:pPr>
      <w:r>
        <w:rPr>
          <w:b/>
          <w:lang w:val="en-US"/>
        </w:rPr>
        <w:t>Merkin</w:t>
      </w:r>
    </w:p>
    <w:p w:rsidR="00DA71B1" w:rsidRPr="000514E2" w:rsidRDefault="00DA71B1" w:rsidP="008B200D">
      <w:pPr>
        <w:jc w:val="both"/>
        <w:rPr>
          <w:lang w:val="en-US"/>
        </w:rPr>
      </w:pPr>
      <w:r w:rsidRPr="00DA71B1">
        <w:t xml:space="preserve">Þremur </w:t>
      </w:r>
      <w:r w:rsidR="008D6794">
        <w:t xml:space="preserve"> </w:t>
      </w:r>
      <w:r w:rsidRPr="00DA71B1">
        <w:t>árum eftir þessa atburði kom út bók eftir Dunant sem hann nefndi „Minningar frá Solferino." Þar lýsir hann framgangi orrustunnar og stingur upp á því í kjölfarið að reynt verði að stemma stigu við hörmulegum afleiðingum styrjalda með því annars vegar að þjálfaðar yrðu hjálparsveitir sem hægt yrði að send á vettvang komi til styrjaldar og hins vegar að ríki heims skuldbindi sig til þess að veita sveitunum friðhelgi á vígvellinum gegn því að þær starfi fullkomlega</w:t>
      </w:r>
      <w:r w:rsidR="008D6794">
        <w:t xml:space="preserve"> </w:t>
      </w:r>
      <w:r w:rsidRPr="00DA71B1">
        <w:t xml:space="preserve"> hlutlaust og liðsmenn þeirra beri ekki vopn.</w:t>
      </w:r>
    </w:p>
    <w:p w:rsidR="00E76526" w:rsidRDefault="00DA71B1" w:rsidP="008B200D">
      <w:pPr>
        <w:jc w:val="both"/>
      </w:pPr>
      <w:r w:rsidRPr="00DA71B1">
        <w:t xml:space="preserve">Á árunum eftir stofnun Alþjóðaráðsins voru mynduð landsfélög </w:t>
      </w:r>
      <w:r w:rsidR="008D6794">
        <w:t>Raud</w:t>
      </w:r>
      <w:r w:rsidRPr="00DA71B1">
        <w:t>a krossins, eitt í hverju landi</w:t>
      </w:r>
      <w:r w:rsidR="00507F6C">
        <w:t xml:space="preserve">.  </w:t>
      </w:r>
      <w:r w:rsidRPr="00DA71B1">
        <w:t xml:space="preserve">Fljótlega kom í ljós að ríki þar sem íslam var ríkjandi trú gátu ekki sætt sig við að nota </w:t>
      </w:r>
      <w:r w:rsidR="008D6794">
        <w:t>raud</w:t>
      </w:r>
      <w:r w:rsidRPr="00DA71B1">
        <w:t xml:space="preserve">an kross sem sitt merki og þau tóku flest upp </w:t>
      </w:r>
      <w:r w:rsidR="008D6794">
        <w:t>raud</w:t>
      </w:r>
      <w:r w:rsidRPr="00DA71B1">
        <w:t>an hálfmána</w:t>
      </w:r>
      <w:r w:rsidR="00507F6C">
        <w:t xml:space="preserve">.  </w:t>
      </w:r>
      <w:r w:rsidRPr="00DA71B1">
        <w:t>Bæði merki hafa notið viðurkenningar síðan 1876.</w:t>
      </w:r>
    </w:p>
    <w:p w:rsidR="00DA71B1" w:rsidRDefault="00DA71B1" w:rsidP="00CD4BED">
      <w:pPr>
        <w:jc w:val="both"/>
        <w:rPr>
          <w:lang w:val="en-US"/>
        </w:rPr>
      </w:pPr>
    </w:p>
    <w:p w:rsidR="00696ED0" w:rsidRPr="00B80FED" w:rsidRDefault="00B80FED" w:rsidP="00E76526">
      <w:pPr>
        <w:rPr>
          <w:b/>
          <w:lang w:val="en-US"/>
        </w:rPr>
      </w:pPr>
      <w:r w:rsidRPr="00B80FED">
        <w:rPr>
          <w:b/>
        </w:rPr>
        <w:t>Viðburðir með umsækjendum um alþjóðlega vernd (2017):</w:t>
      </w:r>
    </w:p>
    <w:p w:rsidR="00696ED0" w:rsidRPr="000514E2" w:rsidRDefault="00696ED0" w:rsidP="00675206">
      <w:pPr>
        <w:tabs>
          <w:tab w:val="right" w:pos="4820"/>
          <w:tab w:val="center" w:pos="6237"/>
          <w:tab w:val="right" w:pos="9356"/>
        </w:tabs>
        <w:spacing w:before="40" w:after="120"/>
        <w:rPr>
          <w:rFonts w:cs="Arial"/>
          <w:b/>
          <w:bCs/>
          <w:szCs w:val="18"/>
          <w:lang w:val="en-US" w:eastAsia="is-IS"/>
        </w:rPr>
      </w:pPr>
      <w:r w:rsidRPr="000514E2">
        <w:rPr>
          <w:rFonts w:cs="Arial"/>
          <w:b/>
          <w:bCs/>
          <w:szCs w:val="18"/>
          <w:lang w:val="en-US" w:eastAsia="is-IS"/>
        </w:rPr>
        <w:tab/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BF6F0C">
        <w:rPr>
          <w:rFonts w:cs="Arial"/>
          <w:b/>
          <w:bCs/>
          <w:szCs w:val="18"/>
          <w:lang w:val="en-US" w:eastAsia="is-IS"/>
        </w:rPr>
        <w:t>Klst</w:t>
      </w:r>
      <w:r w:rsidR="00507F6C">
        <w:rPr>
          <w:rFonts w:cs="Arial"/>
          <w:b/>
          <w:bCs/>
          <w:szCs w:val="18"/>
          <w:lang w:val="en-US" w:eastAsia="is-IS"/>
        </w:rPr>
        <w:t xml:space="preserve">.  </w:t>
      </w:r>
      <w:r w:rsidR="00BF6F0C">
        <w:rPr>
          <w:rFonts w:cs="Arial"/>
          <w:b/>
          <w:bCs/>
          <w:szCs w:val="18"/>
          <w:lang w:val="en-US" w:eastAsia="is-IS"/>
        </w:rPr>
        <w:t>í sjálfboða-</w:t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BF6F0C">
        <w:rPr>
          <w:rFonts w:cs="Arial"/>
          <w:b/>
          <w:bCs/>
          <w:szCs w:val="18"/>
          <w:lang w:val="en-US" w:eastAsia="is-IS"/>
        </w:rPr>
        <w:t>Fjöldi</w:t>
      </w:r>
      <w:r w:rsidR="00F61C28" w:rsidRPr="000514E2">
        <w:rPr>
          <w:rFonts w:cs="Arial"/>
          <w:b/>
          <w:bCs/>
          <w:szCs w:val="18"/>
          <w:lang w:val="en-US" w:eastAsia="is-IS"/>
        </w:rPr>
        <w:br/>
      </w:r>
      <w:r w:rsidR="00BF6F0C">
        <w:rPr>
          <w:rFonts w:cs="Arial"/>
          <w:b/>
          <w:bCs/>
          <w:szCs w:val="18"/>
          <w:lang w:val="en-US" w:eastAsia="is-IS"/>
        </w:rPr>
        <w:t>Mánuður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BF6F0C">
        <w:rPr>
          <w:rFonts w:cs="Arial"/>
          <w:b/>
          <w:bCs/>
          <w:szCs w:val="18"/>
          <w:lang w:val="en-US" w:eastAsia="is-IS"/>
        </w:rPr>
        <w:t>Fjöldi viðburða</w:t>
      </w:r>
      <w:r w:rsidR="007B5635" w:rsidRPr="000514E2">
        <w:rPr>
          <w:rFonts w:cs="Arial"/>
          <w:b/>
          <w:bCs/>
          <w:szCs w:val="18"/>
          <w:lang w:val="en-US" w:eastAsia="is-IS"/>
        </w:rPr>
        <w:tab/>
      </w:r>
      <w:r w:rsidR="00BF6F0C">
        <w:rPr>
          <w:rFonts w:cs="Arial"/>
          <w:b/>
          <w:bCs/>
          <w:szCs w:val="18"/>
          <w:lang w:val="en-US" w:eastAsia="is-IS"/>
        </w:rPr>
        <w:t>liðavinnu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BF6F0C">
        <w:rPr>
          <w:rFonts w:cs="Arial"/>
          <w:b/>
          <w:bCs/>
          <w:szCs w:val="18"/>
          <w:lang w:val="en-US" w:eastAsia="is-IS"/>
        </w:rPr>
        <w:t>sjálfboðaliða</w:t>
      </w:r>
    </w:p>
    <w:p w:rsidR="00696ED0" w:rsidRPr="007B5635" w:rsidRDefault="00BF6F0C" w:rsidP="00E76526">
      <w:pPr>
        <w:rPr>
          <w:lang w:val="en-US" w:eastAsia="is-IS"/>
        </w:rPr>
      </w:pPr>
      <w:r>
        <w:rPr>
          <w:lang w:val="en-US" w:eastAsia="is-IS"/>
        </w:rPr>
        <w:t>Janúar</w:t>
      </w:r>
      <w:r w:rsidR="007B5635" w:rsidRPr="007B5635">
        <w:rPr>
          <w:lang w:val="en-US" w:eastAsia="is-IS"/>
        </w:rPr>
        <w:tab/>
      </w:r>
      <w:r>
        <w:rPr>
          <w:lang w:val="en-US" w:eastAsia="is-IS"/>
        </w:rPr>
        <w:tab/>
        <w:t>33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148</w:t>
      </w:r>
      <w:r w:rsidR="00B80FED">
        <w:rPr>
          <w:lang w:val="en-US" w:eastAsia="is-IS"/>
        </w:rPr>
        <w:tab/>
        <w:t>75</w:t>
      </w:r>
    </w:p>
    <w:p w:rsidR="00696ED0" w:rsidRPr="007B5635" w:rsidRDefault="00BF6F0C" w:rsidP="00E76526">
      <w:pPr>
        <w:rPr>
          <w:lang w:val="en-US" w:eastAsia="is-IS"/>
        </w:rPr>
      </w:pPr>
      <w:r>
        <w:rPr>
          <w:lang w:val="en-US" w:eastAsia="is-IS"/>
        </w:rPr>
        <w:t>Febrúar</w:t>
      </w:r>
      <w:r w:rsidR="00696ED0" w:rsidRPr="007B5635">
        <w:rPr>
          <w:lang w:val="en-US" w:eastAsia="is-IS"/>
        </w:rPr>
        <w:tab/>
      </w:r>
      <w:r w:rsidR="007B5635" w:rsidRPr="007B5635">
        <w:rPr>
          <w:lang w:val="en-US" w:eastAsia="is-IS"/>
        </w:rPr>
        <w:tab/>
      </w:r>
      <w:r>
        <w:rPr>
          <w:lang w:val="en-US" w:eastAsia="is-IS"/>
        </w:rPr>
        <w:t>32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168</w:t>
      </w:r>
      <w:r w:rsidR="00B80FED">
        <w:rPr>
          <w:lang w:val="en-US" w:eastAsia="is-IS"/>
        </w:rPr>
        <w:tab/>
        <w:t>88</w:t>
      </w:r>
    </w:p>
    <w:p w:rsidR="00696ED0" w:rsidRPr="007B5635" w:rsidRDefault="00BF6F0C" w:rsidP="00E76526">
      <w:pPr>
        <w:rPr>
          <w:lang w:val="en-US" w:eastAsia="is-IS"/>
        </w:rPr>
      </w:pPr>
      <w:r>
        <w:rPr>
          <w:lang w:val="en-US" w:eastAsia="is-IS"/>
        </w:rPr>
        <w:t>Mars</w:t>
      </w:r>
      <w:r w:rsidR="00696ED0" w:rsidRPr="007B5635">
        <w:rPr>
          <w:lang w:val="en-US" w:eastAsia="is-IS"/>
        </w:rPr>
        <w:tab/>
      </w:r>
      <w:r w:rsidR="007B5635" w:rsidRPr="007B5635">
        <w:rPr>
          <w:lang w:val="en-US" w:eastAsia="is-IS"/>
        </w:rPr>
        <w:tab/>
      </w:r>
      <w:r>
        <w:rPr>
          <w:lang w:val="en-US" w:eastAsia="is-IS"/>
        </w:rPr>
        <w:t>46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314,5</w:t>
      </w:r>
      <w:r w:rsidR="00B80FED">
        <w:rPr>
          <w:lang w:val="en-US" w:eastAsia="is-IS"/>
        </w:rPr>
        <w:tab/>
        <w:t>151</w:t>
      </w:r>
    </w:p>
    <w:p w:rsidR="00696ED0" w:rsidRPr="007B5635" w:rsidRDefault="00BF6F0C" w:rsidP="00E76526">
      <w:pPr>
        <w:rPr>
          <w:lang w:val="en-US" w:eastAsia="is-IS"/>
        </w:rPr>
      </w:pPr>
      <w:r>
        <w:rPr>
          <w:lang w:val="en-US" w:eastAsia="is-IS"/>
        </w:rPr>
        <w:lastRenderedPageBreak/>
        <w:t>Apríl</w:t>
      </w:r>
      <w:r w:rsidR="00696ED0" w:rsidRPr="007B5635">
        <w:rPr>
          <w:lang w:val="en-US" w:eastAsia="is-IS"/>
        </w:rPr>
        <w:tab/>
      </w:r>
      <w:r w:rsidR="007B5635" w:rsidRPr="007B5635">
        <w:rPr>
          <w:lang w:val="en-US" w:eastAsia="is-IS"/>
        </w:rPr>
        <w:tab/>
        <w:t>25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133,5</w:t>
      </w:r>
      <w:r w:rsidR="00B80FED">
        <w:rPr>
          <w:lang w:val="en-US" w:eastAsia="is-IS"/>
        </w:rPr>
        <w:tab/>
        <w:t>67</w:t>
      </w:r>
    </w:p>
    <w:p w:rsidR="00696ED0" w:rsidRPr="00CE37CB" w:rsidRDefault="00BF6F0C" w:rsidP="00CE37CB">
      <w:pPr>
        <w:rPr>
          <w:lang w:val="en-US" w:eastAsia="is-IS"/>
        </w:rPr>
      </w:pPr>
      <w:r w:rsidRPr="00CE37CB">
        <w:rPr>
          <w:lang w:val="en-US" w:eastAsia="is-IS"/>
        </w:rPr>
        <w:t>Maí</w:t>
      </w:r>
      <w:r w:rsidR="007B5635" w:rsidRPr="00CE37CB">
        <w:rPr>
          <w:lang w:val="en-US" w:eastAsia="is-IS"/>
        </w:rPr>
        <w:tab/>
      </w:r>
      <w:r w:rsidRPr="00CE37CB">
        <w:rPr>
          <w:lang w:val="en-US" w:eastAsia="is-IS"/>
        </w:rPr>
        <w:tab/>
        <w:t>30</w:t>
      </w:r>
      <w:r w:rsidR="007B5635" w:rsidRPr="00CE37CB">
        <w:rPr>
          <w:lang w:val="en-US" w:eastAsia="is-IS"/>
        </w:rPr>
        <w:tab/>
      </w:r>
      <w:r w:rsidR="00B80FED" w:rsidRPr="00CE37CB">
        <w:rPr>
          <w:lang w:val="en-US" w:eastAsia="is-IS"/>
        </w:rPr>
        <w:t>129,5</w:t>
      </w:r>
      <w:r w:rsidR="00B80FED" w:rsidRPr="00CE37CB">
        <w:rPr>
          <w:lang w:val="en-US" w:eastAsia="is-IS"/>
        </w:rPr>
        <w:tab/>
        <w:t>62</w:t>
      </w:r>
    </w:p>
    <w:p w:rsidR="00696ED0" w:rsidRPr="00CE37CB" w:rsidRDefault="00BF6F0C" w:rsidP="00CE37CB">
      <w:pPr>
        <w:rPr>
          <w:lang w:val="en-US" w:eastAsia="is-IS"/>
        </w:rPr>
      </w:pPr>
      <w:r w:rsidRPr="00CE37CB">
        <w:rPr>
          <w:lang w:val="en-US" w:eastAsia="is-IS"/>
        </w:rPr>
        <w:t>Júní</w:t>
      </w:r>
      <w:r w:rsidR="007B5635" w:rsidRPr="00CE37CB">
        <w:rPr>
          <w:lang w:val="en-US" w:eastAsia="is-IS"/>
        </w:rPr>
        <w:tab/>
      </w:r>
      <w:r w:rsidRPr="00CE37CB">
        <w:rPr>
          <w:lang w:val="en-US" w:eastAsia="is-IS"/>
        </w:rPr>
        <w:tab/>
        <w:t>28</w:t>
      </w:r>
      <w:r w:rsidR="007B5635" w:rsidRPr="00CE37CB">
        <w:rPr>
          <w:lang w:val="en-US" w:eastAsia="is-IS"/>
        </w:rPr>
        <w:tab/>
      </w:r>
      <w:r w:rsidR="00B80FED" w:rsidRPr="00CE37CB">
        <w:rPr>
          <w:lang w:val="en-US" w:eastAsia="is-IS"/>
        </w:rPr>
        <w:t>130</w:t>
      </w:r>
      <w:r w:rsidR="00B80FED" w:rsidRPr="00CE37CB">
        <w:rPr>
          <w:lang w:val="en-US" w:eastAsia="is-IS"/>
        </w:rPr>
        <w:tab/>
        <w:t>70</w:t>
      </w:r>
    </w:p>
    <w:p w:rsidR="00696ED0" w:rsidRPr="00CE37CB" w:rsidRDefault="00BF6F0C" w:rsidP="00CE37CB">
      <w:pPr>
        <w:rPr>
          <w:lang w:val="en-US" w:eastAsia="is-IS"/>
        </w:rPr>
      </w:pPr>
      <w:r w:rsidRPr="00CE37CB">
        <w:rPr>
          <w:lang w:val="en-US" w:eastAsia="is-IS"/>
        </w:rPr>
        <w:t>Júlí</w:t>
      </w:r>
      <w:r w:rsidR="00696ED0" w:rsidRPr="00CE37CB">
        <w:rPr>
          <w:lang w:val="en-US" w:eastAsia="is-IS"/>
        </w:rPr>
        <w:tab/>
      </w:r>
      <w:r w:rsidRPr="00CE37CB">
        <w:rPr>
          <w:lang w:val="en-US" w:eastAsia="is-IS"/>
        </w:rPr>
        <w:tab/>
        <w:t>27</w:t>
      </w:r>
      <w:r w:rsidR="007B5635" w:rsidRPr="00CE37CB">
        <w:rPr>
          <w:lang w:val="en-US" w:eastAsia="is-IS"/>
        </w:rPr>
        <w:tab/>
      </w:r>
      <w:r w:rsidR="00B80FED" w:rsidRPr="00CE37CB">
        <w:rPr>
          <w:lang w:val="en-US" w:eastAsia="is-IS"/>
        </w:rPr>
        <w:t>215</w:t>
      </w:r>
      <w:r w:rsidR="00B80FED" w:rsidRPr="00CE37CB">
        <w:rPr>
          <w:lang w:val="en-US" w:eastAsia="is-IS"/>
        </w:rPr>
        <w:tab/>
        <w:t>65</w:t>
      </w:r>
    </w:p>
    <w:p w:rsidR="00696ED0" w:rsidRPr="00CE37CB" w:rsidRDefault="00BF6F0C" w:rsidP="00CE37CB">
      <w:pPr>
        <w:rPr>
          <w:lang w:val="en-US" w:eastAsia="is-IS"/>
        </w:rPr>
      </w:pPr>
      <w:r w:rsidRPr="00CE37CB">
        <w:rPr>
          <w:lang w:val="en-US" w:eastAsia="is-IS"/>
        </w:rPr>
        <w:t>Ágúst</w:t>
      </w:r>
      <w:r w:rsidR="00696ED0" w:rsidRPr="00CE37CB">
        <w:rPr>
          <w:lang w:val="en-US" w:eastAsia="is-IS"/>
        </w:rPr>
        <w:tab/>
      </w:r>
      <w:r w:rsidR="007B5635" w:rsidRPr="00CE37CB">
        <w:rPr>
          <w:lang w:val="en-US" w:eastAsia="is-IS"/>
        </w:rPr>
        <w:tab/>
      </w:r>
      <w:r w:rsidRPr="00CE37CB">
        <w:rPr>
          <w:lang w:val="en-US" w:eastAsia="is-IS"/>
        </w:rPr>
        <w:t>29</w:t>
      </w:r>
      <w:r w:rsidR="007B5635" w:rsidRPr="00CE37CB">
        <w:rPr>
          <w:lang w:val="en-US" w:eastAsia="is-IS"/>
        </w:rPr>
        <w:tab/>
      </w:r>
      <w:r w:rsidR="00B80FED" w:rsidRPr="00CE37CB">
        <w:rPr>
          <w:lang w:val="en-US" w:eastAsia="is-IS"/>
        </w:rPr>
        <w:t>145</w:t>
      </w:r>
      <w:r w:rsidR="00B80FED" w:rsidRPr="00CE37CB">
        <w:rPr>
          <w:lang w:val="en-US" w:eastAsia="is-IS"/>
        </w:rPr>
        <w:tab/>
        <w:t>72</w:t>
      </w:r>
    </w:p>
    <w:p w:rsidR="00696ED0" w:rsidRPr="007B5635" w:rsidRDefault="00BF6F0C" w:rsidP="00CE37CB">
      <w:pPr>
        <w:rPr>
          <w:lang w:val="en-US" w:eastAsia="is-IS"/>
        </w:rPr>
      </w:pPr>
      <w:r>
        <w:rPr>
          <w:lang w:val="en-US" w:eastAsia="is-IS"/>
        </w:rPr>
        <w:t>September</w:t>
      </w:r>
      <w:r w:rsidR="007B5635" w:rsidRPr="007B5635">
        <w:rPr>
          <w:lang w:val="en-US" w:eastAsia="is-IS"/>
        </w:rPr>
        <w:tab/>
      </w:r>
      <w:r>
        <w:rPr>
          <w:lang w:val="en-US" w:eastAsia="is-IS"/>
        </w:rPr>
        <w:tab/>
        <w:t>51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253,5</w:t>
      </w:r>
      <w:r w:rsidR="00B80FED">
        <w:rPr>
          <w:lang w:val="en-US" w:eastAsia="is-IS"/>
        </w:rPr>
        <w:tab/>
        <w:t>109</w:t>
      </w:r>
    </w:p>
    <w:p w:rsidR="00696ED0" w:rsidRPr="007B5635" w:rsidRDefault="00BF6F0C" w:rsidP="00CE37CB">
      <w:pPr>
        <w:rPr>
          <w:lang w:val="en-US" w:eastAsia="is-IS"/>
        </w:rPr>
      </w:pPr>
      <w:r>
        <w:rPr>
          <w:lang w:val="en-US" w:eastAsia="is-IS"/>
        </w:rPr>
        <w:t>Október</w:t>
      </w:r>
      <w:r w:rsidR="00696ED0" w:rsidRPr="007B5635">
        <w:rPr>
          <w:lang w:val="en-US" w:eastAsia="is-IS"/>
        </w:rPr>
        <w:tab/>
      </w:r>
      <w:r>
        <w:rPr>
          <w:lang w:val="en-US" w:eastAsia="is-IS"/>
        </w:rPr>
        <w:tab/>
        <w:t>57</w:t>
      </w:r>
      <w:r w:rsidR="007B5635" w:rsidRPr="007B5635">
        <w:rPr>
          <w:lang w:val="en-US" w:eastAsia="is-IS"/>
        </w:rPr>
        <w:tab/>
      </w:r>
      <w:r w:rsidR="00B80FED">
        <w:rPr>
          <w:lang w:val="en-US" w:eastAsia="is-IS"/>
        </w:rPr>
        <w:t>288</w:t>
      </w:r>
      <w:r w:rsidR="00B80FED">
        <w:rPr>
          <w:lang w:val="en-US" w:eastAsia="is-IS"/>
        </w:rPr>
        <w:tab/>
        <w:t>126</w:t>
      </w:r>
    </w:p>
    <w:p w:rsidR="00696ED0" w:rsidRDefault="00BF6F0C" w:rsidP="00CE37CB">
      <w:pPr>
        <w:rPr>
          <w:lang w:val="en-US" w:eastAsia="is-IS"/>
        </w:rPr>
      </w:pPr>
      <w:r>
        <w:rPr>
          <w:lang w:val="en-US" w:eastAsia="is-IS"/>
        </w:rPr>
        <w:t>Nóvember</w:t>
      </w:r>
      <w:r w:rsidR="007B5635" w:rsidRPr="007B5635">
        <w:rPr>
          <w:lang w:val="en-US" w:eastAsia="is-IS"/>
        </w:rPr>
        <w:tab/>
      </w:r>
      <w:r>
        <w:rPr>
          <w:lang w:val="en-US" w:eastAsia="is-IS"/>
        </w:rPr>
        <w:tab/>
        <w:t>62</w:t>
      </w:r>
      <w:r w:rsidR="00B80FED">
        <w:rPr>
          <w:bCs/>
          <w:lang w:val="en-US" w:eastAsia="is-IS"/>
        </w:rPr>
        <w:tab/>
        <w:t>324,5</w:t>
      </w:r>
      <w:r w:rsidR="00B80FED">
        <w:rPr>
          <w:lang w:val="en-US" w:eastAsia="is-IS"/>
        </w:rPr>
        <w:tab/>
        <w:t>161</w:t>
      </w:r>
    </w:p>
    <w:p w:rsidR="00BF6F0C" w:rsidRPr="007B5635" w:rsidRDefault="00BF6F0C" w:rsidP="00CE37CB">
      <w:pPr>
        <w:rPr>
          <w:lang w:val="en-US" w:eastAsia="is-IS"/>
        </w:rPr>
      </w:pPr>
      <w:r>
        <w:rPr>
          <w:lang w:val="en-US" w:eastAsia="is-IS"/>
        </w:rPr>
        <w:t>Desember</w:t>
      </w:r>
      <w:r>
        <w:rPr>
          <w:lang w:val="en-US" w:eastAsia="is-IS"/>
        </w:rPr>
        <w:tab/>
      </w:r>
      <w:r>
        <w:rPr>
          <w:lang w:val="en-US" w:eastAsia="is-IS"/>
        </w:rPr>
        <w:tab/>
        <w:t>31</w:t>
      </w:r>
      <w:r w:rsidR="00B80FED">
        <w:rPr>
          <w:lang w:val="en-US" w:eastAsia="is-IS"/>
        </w:rPr>
        <w:tab/>
        <w:t>156,5</w:t>
      </w:r>
      <w:r w:rsidR="00B80FED">
        <w:rPr>
          <w:lang w:val="en-US" w:eastAsia="is-IS"/>
        </w:rPr>
        <w:tab/>
        <w:t>70</w:t>
      </w:r>
    </w:p>
    <w:p w:rsidR="009D3D0A" w:rsidRPr="00E76526" w:rsidRDefault="008D6794" w:rsidP="000562BC">
      <w:pPr>
        <w:spacing w:before="120"/>
        <w:rPr>
          <w:b/>
          <w:lang w:val="en-US"/>
        </w:rPr>
      </w:pPr>
      <w:r>
        <w:rPr>
          <w:b/>
          <w:lang w:val="en-US"/>
        </w:rPr>
        <w:t>Raud</w:t>
      </w:r>
      <w:r w:rsidR="00533CC6">
        <w:rPr>
          <w:b/>
          <w:lang w:val="en-US"/>
        </w:rPr>
        <w:t>i kross Íslands</w:t>
      </w:r>
    </w:p>
    <w:p w:rsidR="00E76526" w:rsidRPr="000A66DC" w:rsidRDefault="00533CC6" w:rsidP="00E76526">
      <w:pPr>
        <w:rPr>
          <w:lang w:val="en-US"/>
        </w:rPr>
      </w:pPr>
      <w:r>
        <w:rPr>
          <w:lang w:val="en-US"/>
        </w:rPr>
        <w:t>Meðlimir á Íslandi</w:t>
      </w:r>
    </w:p>
    <w:p w:rsidR="00E76526" w:rsidRPr="000A66DC" w:rsidRDefault="00533CC6" w:rsidP="00E76526">
      <w:pPr>
        <w:tabs>
          <w:tab w:val="left" w:pos="1812"/>
          <w:tab w:val="left" w:pos="3509"/>
          <w:tab w:val="left" w:pos="5206"/>
        </w:tabs>
        <w:rPr>
          <w:lang w:val="en-US"/>
        </w:rPr>
      </w:pPr>
      <w:r>
        <w:rPr>
          <w:lang w:val="en-US"/>
        </w:rPr>
        <w:t>Félagar yfir 20.000</w:t>
      </w:r>
      <w:r>
        <w:rPr>
          <w:lang w:val="en-US"/>
        </w:rPr>
        <w:tab/>
        <w:t>Mannvinir 12.000</w:t>
      </w:r>
      <w:r>
        <w:rPr>
          <w:lang w:val="en-US"/>
        </w:rPr>
        <w:tab/>
        <w:t>Sjálfboðaliðar</w:t>
      </w:r>
      <w:r w:rsidR="003C4C4D">
        <w:rPr>
          <w:lang w:val="en-US"/>
        </w:rPr>
        <w:t xml:space="preserve"> 3</w:t>
      </w:r>
      <w:r w:rsidR="001F6ACD">
        <w:rPr>
          <w:lang w:val="en-US"/>
        </w:rPr>
        <w:t>.</w:t>
      </w:r>
      <w:r w:rsidR="003C4C4D">
        <w:rPr>
          <w:lang w:val="en-US"/>
        </w:rPr>
        <w:t>000</w:t>
      </w:r>
    </w:p>
    <w:p w:rsidR="002C675D" w:rsidRDefault="002C675D" w:rsidP="00CD4BED">
      <w:pPr>
        <w:jc w:val="both"/>
        <w:rPr>
          <w:lang w:val="en-US"/>
        </w:rPr>
      </w:pPr>
    </w:p>
    <w:p w:rsidR="00E8099C" w:rsidRPr="00433F37" w:rsidRDefault="00533CC6" w:rsidP="00E8099C">
      <w:pPr>
        <w:rPr>
          <w:b/>
          <w:lang w:val="is-IS"/>
        </w:rPr>
      </w:pPr>
      <w:r w:rsidRPr="00433F37">
        <w:rPr>
          <w:b/>
          <w:lang w:val="is-IS"/>
        </w:rPr>
        <w:t>Mannúð</w:t>
      </w:r>
    </w:p>
    <w:p w:rsidR="00533CC6" w:rsidRDefault="00533CC6" w:rsidP="00E8099C">
      <w:r>
        <w:t>V</w:t>
      </w:r>
      <w:r w:rsidRPr="00533CC6">
        <w:t xml:space="preserve">eita þeim </w:t>
      </w:r>
      <w:r w:rsidR="008D6794">
        <w:t xml:space="preserve"> </w:t>
      </w:r>
      <w:r w:rsidRPr="00533CC6">
        <w:t>sem særst höfðu á orrustuvelli hjálp án manngreinarálits</w:t>
      </w:r>
    </w:p>
    <w:p w:rsidR="00533CC6" w:rsidRDefault="00433F37" w:rsidP="00E8099C">
      <w:r>
        <w:t>K</w:t>
      </w:r>
      <w:r w:rsidRPr="00433F37">
        <w:t xml:space="preserve">oma í veg fyrir og létta </w:t>
      </w:r>
      <w:r w:rsidR="008D6794">
        <w:t xml:space="preserve"> </w:t>
      </w:r>
      <w:r w:rsidRPr="00433F37">
        <w:t>þjáningar fólks hvar sem það er statt</w:t>
      </w:r>
    </w:p>
    <w:p w:rsidR="00433F37" w:rsidRPr="00533CC6" w:rsidRDefault="00433F37" w:rsidP="00E8099C">
      <w:pPr>
        <w:rPr>
          <w:lang w:val="is-IS"/>
        </w:rPr>
      </w:pPr>
      <w:r>
        <w:t>V</w:t>
      </w:r>
      <w:r w:rsidRPr="00433F37">
        <w:t>ernda líf og heilsu og tryggja virðingu fyrir mannlegu lífi</w:t>
      </w:r>
    </w:p>
    <w:p w:rsidR="00E8099C" w:rsidRPr="00E76526" w:rsidRDefault="00433F37" w:rsidP="00E8099C">
      <w:pPr>
        <w:rPr>
          <w:lang w:val="en-US"/>
        </w:rPr>
      </w:pPr>
      <w:r>
        <w:rPr>
          <w:b/>
          <w:lang w:val="en-US"/>
        </w:rPr>
        <w:t>Óhlutdrægni</w:t>
      </w:r>
    </w:p>
    <w:p w:rsidR="00E8099C" w:rsidRDefault="00433F37" w:rsidP="00E8099C">
      <w:r>
        <w:t>Engin</w:t>
      </w:r>
      <w:r w:rsidRPr="00433F37">
        <w:t xml:space="preserve"> mun</w:t>
      </w:r>
      <w:r>
        <w:t>ur</w:t>
      </w:r>
      <w:r w:rsidRPr="00433F37">
        <w:t xml:space="preserve"> á milli manna</w:t>
      </w:r>
      <w:r>
        <w:t xml:space="preserve"> eftir þjóðerni þeirra,</w:t>
      </w:r>
      <w:r w:rsidRPr="00433F37">
        <w:t xml:space="preserve"> trúarbrögðum, kyn</w:t>
      </w:r>
      <w:r>
        <w:t>i, stétt eða stjórnmálaskoðunum</w:t>
      </w:r>
    </w:p>
    <w:p w:rsidR="00433F37" w:rsidRPr="00E76526" w:rsidRDefault="00433F37" w:rsidP="00E8099C">
      <w:pPr>
        <w:rPr>
          <w:lang w:val="en-US"/>
        </w:rPr>
      </w:pPr>
      <w:r>
        <w:t>Reyna</w:t>
      </w:r>
      <w:r w:rsidRPr="00433F37">
        <w:t xml:space="preserve"> að draga úr þjáningum einstaklinga</w:t>
      </w:r>
    </w:p>
    <w:p w:rsidR="00E8099C" w:rsidRPr="003A4DFF" w:rsidRDefault="00433F37" w:rsidP="00E8099C">
      <w:pPr>
        <w:rPr>
          <w:lang w:val="en-US"/>
        </w:rPr>
      </w:pPr>
      <w:r>
        <w:rPr>
          <w:b/>
          <w:lang w:val="en-US"/>
        </w:rPr>
        <w:t>Hlutleysi</w:t>
      </w:r>
    </w:p>
    <w:p w:rsidR="00433F37" w:rsidRDefault="00433F37" w:rsidP="00E8099C">
      <w:r>
        <w:t>G</w:t>
      </w:r>
      <w:r w:rsidRPr="00433F37">
        <w:t xml:space="preserve">æta hlutleysis í ófriði og aldrei taka þátt í deilum vegna </w:t>
      </w:r>
      <w:r w:rsidR="008D6794">
        <w:t xml:space="preserve"> </w:t>
      </w:r>
      <w:r w:rsidRPr="00433F37">
        <w:t>stjórnmála, uppruna</w:t>
      </w:r>
      <w:r>
        <w:t xml:space="preserve"> eða </w:t>
      </w:r>
      <w:r w:rsidR="00B80FED">
        <w:t>trúarbragða</w:t>
      </w:r>
    </w:p>
    <w:p w:rsidR="00E8099C" w:rsidRPr="00E76526" w:rsidRDefault="00433F37" w:rsidP="00E8099C">
      <w:pPr>
        <w:rPr>
          <w:lang w:val="en-US"/>
        </w:rPr>
      </w:pPr>
      <w:r>
        <w:rPr>
          <w:b/>
          <w:lang w:val="en-US"/>
        </w:rPr>
        <w:t>Sjálfstæði</w:t>
      </w:r>
    </w:p>
    <w:p w:rsidR="00433F37" w:rsidRDefault="00433F37" w:rsidP="003C4C4D">
      <w:pPr>
        <w:jc w:val="both"/>
      </w:pPr>
      <w:r w:rsidRPr="00433F37">
        <w:t>Hreyfingin er sjálfstæð</w:t>
      </w:r>
    </w:p>
    <w:p w:rsidR="003C4C4D" w:rsidRPr="003C4C4D" w:rsidRDefault="003C4C4D" w:rsidP="003C4C4D">
      <w:pPr>
        <w:jc w:val="both"/>
        <w:rPr>
          <w:b/>
        </w:rPr>
      </w:pPr>
      <w:r w:rsidRPr="003C4C4D">
        <w:rPr>
          <w:b/>
        </w:rPr>
        <w:t>Sjálfboðin þjónusta</w:t>
      </w:r>
    </w:p>
    <w:p w:rsidR="003C4C4D" w:rsidRDefault="003C4C4D" w:rsidP="003C4C4D">
      <w:pPr>
        <w:jc w:val="both"/>
      </w:pPr>
      <w:r w:rsidRPr="003C4C4D">
        <w:t>Hreyfingin er borin uppi af sjálfboðnu hjálparstarfi</w:t>
      </w:r>
    </w:p>
    <w:p w:rsidR="000A66DC" w:rsidRDefault="003C4C4D" w:rsidP="0098047B">
      <w:pPr>
        <w:spacing w:before="120" w:after="60"/>
        <w:jc w:val="both"/>
        <w:rPr>
          <w:lang w:val="en-US"/>
        </w:rPr>
      </w:pPr>
      <w:r>
        <w:rPr>
          <w:b/>
          <w:lang w:val="en-US"/>
        </w:rPr>
        <w:t xml:space="preserve">Mannúðarlög </w:t>
      </w:r>
      <w:r w:rsidRPr="003C4C4D">
        <w:t>Alþjóðleg mannúðarlög miða að þv</w:t>
      </w:r>
      <w:r w:rsidR="00B80FED">
        <w:t>í lina þjáningar fólks í stríði</w:t>
      </w:r>
    </w:p>
    <w:p w:rsidR="003C4C4D" w:rsidRPr="003C4C4D" w:rsidRDefault="003C4C4D" w:rsidP="003C4C4D">
      <w:pPr>
        <w:rPr>
          <w:lang w:val="is-IS"/>
        </w:rPr>
      </w:pPr>
      <w:r w:rsidRPr="003C4C4D">
        <w:rPr>
          <w:b/>
          <w:lang w:val="is-IS"/>
        </w:rPr>
        <w:t>Venjuréttur</w:t>
      </w:r>
      <w:r>
        <w:rPr>
          <w:b/>
          <w:lang w:val="is-IS"/>
        </w:rPr>
        <w:t xml:space="preserve"> </w:t>
      </w:r>
      <w:r w:rsidRPr="003C4C4D">
        <w:t>alþjóðlegra mannúðarlaga er samansafn af reglum sem má draga af tilteknum venjum</w:t>
      </w:r>
    </w:p>
    <w:p w:rsidR="00BF2018" w:rsidRDefault="003C4C4D" w:rsidP="00E76526">
      <w:pPr>
        <w:rPr>
          <w:b/>
        </w:rPr>
      </w:pPr>
      <w:r w:rsidRPr="003C4C4D">
        <w:rPr>
          <w:b/>
        </w:rPr>
        <w:t xml:space="preserve">Landsnefnd </w:t>
      </w:r>
      <w:r w:rsidR="00BF2018">
        <w:t>breiðir</w:t>
      </w:r>
      <w:r w:rsidR="00BF2018" w:rsidRPr="00BF2018">
        <w:t xml:space="preserve"> út þekki</w:t>
      </w:r>
      <w:r w:rsidR="00BF2018">
        <w:t>ngu á alþjóðlegum mannúðarrétti</w:t>
      </w:r>
    </w:p>
    <w:p w:rsidR="00BF2018" w:rsidRPr="00595ADA" w:rsidRDefault="00BF2018" w:rsidP="00E76526">
      <w:r w:rsidRPr="00BF2018">
        <w:rPr>
          <w:b/>
        </w:rPr>
        <w:t xml:space="preserve">Genfarsáttmálinn </w:t>
      </w:r>
      <w:r>
        <w:t>takmarkar stríðsrekstur á ýmsan hátt</w:t>
      </w:r>
    </w:p>
    <w:p w:rsidR="00022781" w:rsidRDefault="00022781" w:rsidP="00022781">
      <w:pPr>
        <w:jc w:val="both"/>
        <w:rPr>
          <w:lang w:val="en-US"/>
        </w:rPr>
      </w:pPr>
    </w:p>
    <w:p w:rsidR="00022781" w:rsidRDefault="00022781" w:rsidP="00022781">
      <w:pPr>
        <w:pBdr>
          <w:top w:val="single" w:sz="4" w:space="1" w:color="auto"/>
        </w:pBdr>
        <w:jc w:val="both"/>
        <w:rPr>
          <w:lang w:val="en-US"/>
        </w:rPr>
      </w:pPr>
    </w:p>
    <w:p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:rsidR="00E76526" w:rsidRDefault="00E76526" w:rsidP="00E76526">
      <w:pPr>
        <w:rPr>
          <w:lang w:val="en-US"/>
        </w:rPr>
      </w:pPr>
    </w:p>
    <w:p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p w:rsidR="00E20AB4" w:rsidRDefault="00E20AB4" w:rsidP="002C675D">
      <w:pPr>
        <w:spacing w:after="40"/>
        <w:jc w:val="both"/>
        <w:rPr>
          <w:b/>
          <w:lang w:val="en-US"/>
        </w:rPr>
      </w:pPr>
    </w:p>
    <w:bookmarkEnd w:id="1"/>
    <w:bookmarkEnd w:id="2"/>
    <w:bookmarkEnd w:id="3"/>
    <w:bookmarkEnd w:id="4"/>
    <w:bookmarkEnd w:id="5"/>
    <w:p w:rsidR="002C675D" w:rsidRPr="002C675D" w:rsidRDefault="00E20AB4" w:rsidP="002C675D">
      <w:pPr>
        <w:spacing w:after="40"/>
        <w:jc w:val="both"/>
        <w:rPr>
          <w:lang w:val="en-US"/>
        </w:rPr>
      </w:pPr>
      <w:r w:rsidRPr="003C4C4D">
        <w:rPr>
          <w:noProof/>
          <w:lang w:val="is-IS" w:eastAsia="is-IS"/>
        </w:rPr>
        <w:lastRenderedPageBreak/>
        <w:drawing>
          <wp:inline distT="0" distB="0" distL="0" distR="0" wp14:anchorId="1F2888D3" wp14:editId="7115CA03">
            <wp:extent cx="4330700" cy="2704601"/>
            <wp:effectExtent l="0" t="0" r="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40" cy="27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75D" w:rsidRPr="002C675D" w:rsidSect="00136ACE">
      <w:footerReference w:type="default" r:id="rId11"/>
      <w:type w:val="continuous"/>
      <w:pgSz w:w="11906" w:h="16838" w:code="9"/>
      <w:pgMar w:top="1134" w:right="1701" w:bottom="22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65" w:rsidRDefault="005D5265" w:rsidP="007D0C04">
      <w:r>
        <w:separator/>
      </w:r>
    </w:p>
  </w:endnote>
  <w:endnote w:type="continuationSeparator" w:id="0">
    <w:p w:rsidR="005D5265" w:rsidRDefault="005D5265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91" w:rsidRDefault="00E27491" w:rsidP="0056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65" w:rsidRDefault="005D5265" w:rsidP="007D0C04">
      <w:r>
        <w:separator/>
      </w:r>
    </w:p>
  </w:footnote>
  <w:footnote w:type="continuationSeparator" w:id="0">
    <w:p w:rsidR="005D5265" w:rsidRDefault="005D5265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4"/>
    <w:rsid w:val="00022781"/>
    <w:rsid w:val="000514E2"/>
    <w:rsid w:val="000562BC"/>
    <w:rsid w:val="000860E0"/>
    <w:rsid w:val="000975A3"/>
    <w:rsid w:val="000A0258"/>
    <w:rsid w:val="000A66DC"/>
    <w:rsid w:val="000E230F"/>
    <w:rsid w:val="00105D88"/>
    <w:rsid w:val="00136ACE"/>
    <w:rsid w:val="00173E64"/>
    <w:rsid w:val="001976D4"/>
    <w:rsid w:val="001B716A"/>
    <w:rsid w:val="001C1DDE"/>
    <w:rsid w:val="001E2840"/>
    <w:rsid w:val="001F6ACD"/>
    <w:rsid w:val="002558DF"/>
    <w:rsid w:val="00267DA1"/>
    <w:rsid w:val="00275EA2"/>
    <w:rsid w:val="002A32EC"/>
    <w:rsid w:val="002A520C"/>
    <w:rsid w:val="002B590B"/>
    <w:rsid w:val="002C675D"/>
    <w:rsid w:val="002D49C2"/>
    <w:rsid w:val="0031074D"/>
    <w:rsid w:val="00362D5F"/>
    <w:rsid w:val="00393DB3"/>
    <w:rsid w:val="003A4DFF"/>
    <w:rsid w:val="003C356E"/>
    <w:rsid w:val="003C4C4D"/>
    <w:rsid w:val="003E4339"/>
    <w:rsid w:val="003F7FD9"/>
    <w:rsid w:val="00411B2E"/>
    <w:rsid w:val="00433F37"/>
    <w:rsid w:val="004630C4"/>
    <w:rsid w:val="00484D59"/>
    <w:rsid w:val="004A4DAF"/>
    <w:rsid w:val="004C395D"/>
    <w:rsid w:val="00503761"/>
    <w:rsid w:val="00507F6C"/>
    <w:rsid w:val="00533CC6"/>
    <w:rsid w:val="00567F91"/>
    <w:rsid w:val="005871C0"/>
    <w:rsid w:val="00595ADA"/>
    <w:rsid w:val="005D5265"/>
    <w:rsid w:val="005F5C04"/>
    <w:rsid w:val="006223DE"/>
    <w:rsid w:val="00633D8D"/>
    <w:rsid w:val="00675206"/>
    <w:rsid w:val="00681D08"/>
    <w:rsid w:val="00696ED0"/>
    <w:rsid w:val="006C26E2"/>
    <w:rsid w:val="006C53F2"/>
    <w:rsid w:val="00735D49"/>
    <w:rsid w:val="007728EB"/>
    <w:rsid w:val="00791D12"/>
    <w:rsid w:val="007B5635"/>
    <w:rsid w:val="007D0C04"/>
    <w:rsid w:val="007D5B37"/>
    <w:rsid w:val="00810DF5"/>
    <w:rsid w:val="00816945"/>
    <w:rsid w:val="008620F2"/>
    <w:rsid w:val="008B200D"/>
    <w:rsid w:val="008C6753"/>
    <w:rsid w:val="008D65A4"/>
    <w:rsid w:val="008D6794"/>
    <w:rsid w:val="0091418A"/>
    <w:rsid w:val="00937626"/>
    <w:rsid w:val="009571AB"/>
    <w:rsid w:val="00973E4F"/>
    <w:rsid w:val="0098047B"/>
    <w:rsid w:val="00993E8F"/>
    <w:rsid w:val="009D3D0A"/>
    <w:rsid w:val="009D64DB"/>
    <w:rsid w:val="00A65550"/>
    <w:rsid w:val="00A85878"/>
    <w:rsid w:val="00AB6772"/>
    <w:rsid w:val="00B016FD"/>
    <w:rsid w:val="00B04DFB"/>
    <w:rsid w:val="00B23043"/>
    <w:rsid w:val="00B37C39"/>
    <w:rsid w:val="00B50B02"/>
    <w:rsid w:val="00B640F6"/>
    <w:rsid w:val="00B80FED"/>
    <w:rsid w:val="00B82019"/>
    <w:rsid w:val="00B84639"/>
    <w:rsid w:val="00BB4F01"/>
    <w:rsid w:val="00BF2018"/>
    <w:rsid w:val="00BF6F0C"/>
    <w:rsid w:val="00C23939"/>
    <w:rsid w:val="00C44956"/>
    <w:rsid w:val="00CA1D8A"/>
    <w:rsid w:val="00CB6E55"/>
    <w:rsid w:val="00CD0B15"/>
    <w:rsid w:val="00CD12AD"/>
    <w:rsid w:val="00CD4BED"/>
    <w:rsid w:val="00CE37CB"/>
    <w:rsid w:val="00D021A5"/>
    <w:rsid w:val="00D463C7"/>
    <w:rsid w:val="00D55913"/>
    <w:rsid w:val="00D67C4D"/>
    <w:rsid w:val="00D9437F"/>
    <w:rsid w:val="00DA342C"/>
    <w:rsid w:val="00DA71B1"/>
    <w:rsid w:val="00DB0840"/>
    <w:rsid w:val="00E20AB4"/>
    <w:rsid w:val="00E21266"/>
    <w:rsid w:val="00E22D6F"/>
    <w:rsid w:val="00E27491"/>
    <w:rsid w:val="00E428C2"/>
    <w:rsid w:val="00E76526"/>
    <w:rsid w:val="00E8099C"/>
    <w:rsid w:val="00F61C28"/>
    <w:rsid w:val="00F805F5"/>
    <w:rsid w:val="00F92181"/>
    <w:rsid w:val="00FA4C9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0975A3"/>
    <w:pPr>
      <w:ind w:left="720" w:hanging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975A3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C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B4C1-EA12-4735-A4C4-79AFE06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Base>v19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v19</cp:keywords>
  <dc:description>Tinna</dc:description>
  <cp:lastModifiedBy>Jóhanna Geirsdóttir</cp:lastModifiedBy>
  <cp:revision>5</cp:revision>
  <cp:lastPrinted>2016-09-22T17:56:00Z</cp:lastPrinted>
  <dcterms:created xsi:type="dcterms:W3CDTF">2018-09-19T17:38:00Z</dcterms:created>
  <dcterms:modified xsi:type="dcterms:W3CDTF">2019-01-29T10:19:00Z</dcterms:modified>
  <cp:contentStatus>v19</cp:contentStatus>
</cp:coreProperties>
</file>