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9A" w:rsidRPr="001B7BDE" w:rsidRDefault="0085629A" w:rsidP="00946230">
      <w:pPr>
        <w:pStyle w:val="Heading1"/>
        <w:pBdr>
          <w:bottom w:val="single" w:sz="4" w:space="1" w:color="auto"/>
        </w:pBdr>
      </w:pPr>
      <w:bookmarkStart w:id="0" w:name="_GoBack"/>
      <w:r w:rsidRPr="001B7BDE">
        <w:t xml:space="preserve">Dálkstillingar – Hægristilling á áherslunúmerum – Töflunet </w:t>
      </w:r>
    </w:p>
    <w:bookmarkEnd w:id="0"/>
    <w:p w:rsidR="0085629A" w:rsidRPr="00A422CF" w:rsidRDefault="0085629A" w:rsidP="0085629A">
      <w:pPr>
        <w:rPr>
          <w:sz w:val="20"/>
          <w:szCs w:val="20"/>
        </w:rPr>
      </w:pPr>
    </w:p>
    <w:p w:rsidR="0085629A" w:rsidRPr="00AA4411" w:rsidRDefault="0085629A" w:rsidP="005F2158">
      <w:pPr>
        <w:pStyle w:val="Heading2"/>
      </w:pPr>
      <w:r w:rsidRPr="00AA4411">
        <w:t>Tíu dýrustu borgir í heimi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Tókýó</w:t>
      </w:r>
      <w:r w:rsidRPr="003E6206">
        <w:rPr>
          <w:sz w:val="20"/>
        </w:rPr>
        <w:tab/>
      </w:r>
      <w:r w:rsidRPr="003E6206">
        <w:rPr>
          <w:sz w:val="20"/>
        </w:rPr>
        <w:tab/>
        <w:t>Japan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Osaka</w:t>
      </w:r>
      <w:r w:rsidRPr="003E6206">
        <w:rPr>
          <w:sz w:val="20"/>
        </w:rPr>
        <w:tab/>
      </w:r>
      <w:r w:rsidRPr="003E6206">
        <w:rPr>
          <w:sz w:val="20"/>
        </w:rPr>
        <w:tab/>
        <w:t>Japan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Sydney</w:t>
      </w:r>
      <w:r w:rsidRPr="003E6206">
        <w:rPr>
          <w:sz w:val="20"/>
        </w:rPr>
        <w:tab/>
      </w:r>
      <w:r w:rsidRPr="003E6206">
        <w:rPr>
          <w:sz w:val="20"/>
        </w:rPr>
        <w:tab/>
        <w:t>Ástralía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Osló</w:t>
      </w:r>
      <w:r w:rsidRPr="003E6206">
        <w:rPr>
          <w:sz w:val="20"/>
        </w:rPr>
        <w:tab/>
      </w:r>
      <w:r w:rsidRPr="003E6206">
        <w:rPr>
          <w:sz w:val="20"/>
        </w:rPr>
        <w:tab/>
        <w:t>Noregur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Melbourne</w:t>
      </w:r>
      <w:r w:rsidRPr="003E6206">
        <w:rPr>
          <w:sz w:val="20"/>
        </w:rPr>
        <w:tab/>
      </w:r>
      <w:r w:rsidRPr="003E6206">
        <w:rPr>
          <w:sz w:val="20"/>
        </w:rPr>
        <w:tab/>
        <w:t>Ástralía</w:t>
      </w:r>
    </w:p>
    <w:p w:rsidR="0085629A" w:rsidRPr="003E6206" w:rsidRDefault="005F2158" w:rsidP="0085629A">
      <w:pPr>
        <w:rPr>
          <w:sz w:val="20"/>
        </w:rPr>
      </w:pPr>
      <w:r w:rsidRPr="004E6E7C">
        <w:drawing>
          <wp:anchor distT="0" distB="0" distL="114300" distR="114300" simplePos="0" relativeHeight="251659264" behindDoc="1" locked="0" layoutInCell="1" allowOverlap="1" wp14:anchorId="3D7297DD" wp14:editId="7038D6F1">
            <wp:simplePos x="0" y="0"/>
            <wp:positionH relativeFrom="column">
              <wp:posOffset>3395345</wp:posOffset>
            </wp:positionH>
            <wp:positionV relativeFrom="paragraph">
              <wp:posOffset>18415</wp:posOffset>
            </wp:positionV>
            <wp:extent cx="2234565" cy="2234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807[1].PNG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9A" w:rsidRPr="003E6206">
        <w:rPr>
          <w:sz w:val="20"/>
        </w:rPr>
        <w:t>Singapúr</w:t>
      </w:r>
      <w:r w:rsidR="0085629A" w:rsidRPr="003E6206">
        <w:rPr>
          <w:sz w:val="20"/>
        </w:rPr>
        <w:tab/>
      </w:r>
      <w:r w:rsidR="0085629A" w:rsidRPr="003E6206">
        <w:rPr>
          <w:sz w:val="20"/>
        </w:rPr>
        <w:tab/>
        <w:t>Suður-Asíu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Zürich</w:t>
      </w:r>
      <w:r w:rsidRPr="003E6206">
        <w:rPr>
          <w:sz w:val="20"/>
        </w:rPr>
        <w:tab/>
      </w:r>
      <w:r w:rsidRPr="003E6206">
        <w:rPr>
          <w:sz w:val="20"/>
        </w:rPr>
        <w:tab/>
        <w:t>Sviss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París</w:t>
      </w:r>
      <w:r w:rsidRPr="003E6206">
        <w:rPr>
          <w:sz w:val="20"/>
        </w:rPr>
        <w:tab/>
      </w:r>
      <w:r w:rsidRPr="003E6206">
        <w:rPr>
          <w:sz w:val="20"/>
        </w:rPr>
        <w:tab/>
        <w:t>Frakkland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Caracas</w:t>
      </w:r>
      <w:r w:rsidRPr="003E6206">
        <w:rPr>
          <w:sz w:val="20"/>
        </w:rPr>
        <w:tab/>
      </w:r>
      <w:r w:rsidRPr="003E6206">
        <w:rPr>
          <w:sz w:val="20"/>
        </w:rPr>
        <w:tab/>
        <w:t>Venesúela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Genf</w:t>
      </w:r>
      <w:r w:rsidRPr="003E6206">
        <w:rPr>
          <w:sz w:val="20"/>
        </w:rPr>
        <w:tab/>
      </w:r>
      <w:r w:rsidRPr="003E6206">
        <w:rPr>
          <w:sz w:val="20"/>
        </w:rPr>
        <w:tab/>
        <w:t>Sviss</w:t>
      </w:r>
    </w:p>
    <w:p w:rsidR="0085629A" w:rsidRPr="00B36DA7" w:rsidRDefault="0085629A" w:rsidP="0085629A">
      <w:pPr>
        <w:spacing w:after="120"/>
        <w:rPr>
          <w:sz w:val="20"/>
          <w:szCs w:val="20"/>
        </w:rPr>
      </w:pPr>
    </w:p>
    <w:p w:rsidR="0085629A" w:rsidRPr="005F2158" w:rsidRDefault="0085629A" w:rsidP="005F2158">
      <w:pPr>
        <w:pStyle w:val="Heading2"/>
        <w:rPr>
          <w:sz w:val="26"/>
        </w:rPr>
      </w:pPr>
      <w:r w:rsidRPr="005F2158">
        <w:rPr>
          <w:sz w:val="26"/>
        </w:rPr>
        <w:t xml:space="preserve">Tíu ódýrustu borgir í heimi 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Karachi</w:t>
      </w:r>
      <w:r w:rsidRPr="003E6206">
        <w:rPr>
          <w:sz w:val="20"/>
        </w:rPr>
        <w:tab/>
      </w:r>
      <w:r w:rsidRPr="003E6206">
        <w:rPr>
          <w:sz w:val="20"/>
        </w:rPr>
        <w:tab/>
        <w:t xml:space="preserve">Pakistan 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Mumbai</w:t>
      </w:r>
      <w:r w:rsidRPr="003E6206">
        <w:rPr>
          <w:sz w:val="20"/>
        </w:rPr>
        <w:tab/>
      </w:r>
      <w:r w:rsidRPr="003E6206">
        <w:rPr>
          <w:sz w:val="20"/>
        </w:rPr>
        <w:tab/>
        <w:t>Indland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Nýja-Delí</w:t>
      </w:r>
      <w:r w:rsidRPr="003E6206">
        <w:rPr>
          <w:sz w:val="20"/>
        </w:rPr>
        <w:tab/>
      </w:r>
      <w:r w:rsidRPr="003E6206">
        <w:rPr>
          <w:sz w:val="20"/>
        </w:rPr>
        <w:tab/>
        <w:t>Indland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Kathmandu</w:t>
      </w:r>
      <w:r w:rsidRPr="003E6206">
        <w:rPr>
          <w:sz w:val="20"/>
        </w:rPr>
        <w:tab/>
      </w:r>
      <w:r w:rsidRPr="003E6206">
        <w:rPr>
          <w:sz w:val="20"/>
        </w:rPr>
        <w:tab/>
        <w:t xml:space="preserve">Nepal 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Algeirsborg</w:t>
      </w:r>
      <w:r w:rsidRPr="003E6206">
        <w:rPr>
          <w:sz w:val="20"/>
        </w:rPr>
        <w:tab/>
      </w:r>
      <w:r w:rsidRPr="003E6206">
        <w:rPr>
          <w:sz w:val="20"/>
        </w:rPr>
        <w:tab/>
        <w:t xml:space="preserve">Alsír 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Búkarest</w:t>
      </w:r>
      <w:r w:rsidRPr="003E6206">
        <w:rPr>
          <w:sz w:val="20"/>
        </w:rPr>
        <w:tab/>
      </w:r>
      <w:r w:rsidRPr="003E6206">
        <w:rPr>
          <w:sz w:val="20"/>
        </w:rPr>
        <w:tab/>
        <w:t xml:space="preserve">Rúmenía 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Colombo</w:t>
      </w:r>
      <w:r w:rsidRPr="003E6206">
        <w:rPr>
          <w:sz w:val="20"/>
        </w:rPr>
        <w:tab/>
      </w:r>
      <w:r w:rsidRPr="003E6206">
        <w:rPr>
          <w:sz w:val="20"/>
        </w:rPr>
        <w:tab/>
        <w:t xml:space="preserve">Sri Lanka 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Panama-borg</w:t>
      </w:r>
      <w:r w:rsidRPr="003E6206">
        <w:rPr>
          <w:sz w:val="20"/>
        </w:rPr>
        <w:tab/>
      </w:r>
      <w:r w:rsidRPr="003E6206">
        <w:rPr>
          <w:sz w:val="20"/>
        </w:rPr>
        <w:tab/>
        <w:t xml:space="preserve">Panama 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Jeddah</w:t>
      </w:r>
      <w:r w:rsidRPr="003E6206">
        <w:rPr>
          <w:sz w:val="20"/>
        </w:rPr>
        <w:tab/>
      </w:r>
      <w:r w:rsidRPr="003E6206">
        <w:rPr>
          <w:sz w:val="20"/>
        </w:rPr>
        <w:tab/>
        <w:t xml:space="preserve">Sádí-Arabíu 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Teheran</w:t>
      </w:r>
      <w:r w:rsidRPr="003E6206">
        <w:rPr>
          <w:sz w:val="20"/>
        </w:rPr>
        <w:tab/>
      </w:r>
      <w:r w:rsidRPr="003E6206">
        <w:rPr>
          <w:sz w:val="20"/>
        </w:rPr>
        <w:tab/>
        <w:t>Íran</w:t>
      </w:r>
    </w:p>
    <w:p w:rsidR="0085629A" w:rsidRDefault="0085629A" w:rsidP="0085629A">
      <w:pPr>
        <w:spacing w:after="120"/>
        <w:rPr>
          <w:sz w:val="20"/>
          <w:szCs w:val="20"/>
        </w:rPr>
      </w:pPr>
    </w:p>
    <w:p w:rsidR="0085629A" w:rsidRPr="005F2158" w:rsidRDefault="0085629A" w:rsidP="005F2158">
      <w:pPr>
        <w:pStyle w:val="Heading2"/>
        <w:rPr>
          <w:sz w:val="26"/>
        </w:rPr>
      </w:pPr>
      <w:r w:rsidRPr="005F2158">
        <w:rPr>
          <w:sz w:val="26"/>
        </w:rPr>
        <w:t>Gömlu íslensku mánaðaheitin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Vetur</w:t>
      </w:r>
      <w:r w:rsidRPr="003E6206">
        <w:rPr>
          <w:sz w:val="20"/>
        </w:rPr>
        <w:tab/>
        <w:t>Gormánuður</w:t>
      </w:r>
      <w:r w:rsidRPr="003E6206">
        <w:rPr>
          <w:sz w:val="20"/>
        </w:rPr>
        <w:tab/>
        <w:t>Ýlir</w:t>
      </w:r>
      <w:r w:rsidRPr="003E6206">
        <w:rPr>
          <w:sz w:val="20"/>
        </w:rPr>
        <w:tab/>
        <w:t>Mörsugur</w:t>
      </w:r>
      <w:r w:rsidRPr="003E6206">
        <w:rPr>
          <w:sz w:val="20"/>
        </w:rPr>
        <w:tab/>
        <w:t>Þorri</w:t>
      </w:r>
      <w:r w:rsidRPr="003E6206">
        <w:rPr>
          <w:sz w:val="20"/>
        </w:rPr>
        <w:tab/>
        <w:t>Góa</w:t>
      </w:r>
      <w:r w:rsidRPr="003E6206">
        <w:rPr>
          <w:sz w:val="20"/>
        </w:rPr>
        <w:tab/>
        <w:t>Einmánuður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>Sumar</w:t>
      </w:r>
      <w:r w:rsidRPr="003E6206">
        <w:rPr>
          <w:sz w:val="20"/>
        </w:rPr>
        <w:tab/>
        <w:t>Harpa</w:t>
      </w:r>
      <w:r w:rsidRPr="003E6206">
        <w:rPr>
          <w:sz w:val="20"/>
        </w:rPr>
        <w:tab/>
        <w:t>Skerpla</w:t>
      </w:r>
      <w:r w:rsidRPr="003E6206">
        <w:rPr>
          <w:sz w:val="20"/>
        </w:rPr>
        <w:tab/>
        <w:t>Sólmánuður</w:t>
      </w:r>
      <w:r w:rsidRPr="003E6206">
        <w:rPr>
          <w:sz w:val="20"/>
        </w:rPr>
        <w:tab/>
        <w:t>Heyannir</w:t>
      </w:r>
      <w:r w:rsidRPr="003E6206">
        <w:rPr>
          <w:sz w:val="20"/>
        </w:rPr>
        <w:tab/>
        <w:t>Tvímánuður</w:t>
      </w:r>
      <w:r w:rsidRPr="003E6206">
        <w:rPr>
          <w:sz w:val="20"/>
        </w:rPr>
        <w:tab/>
        <w:t>Haustmánuður</w:t>
      </w:r>
    </w:p>
    <w:p w:rsidR="0085629A" w:rsidRPr="003E6206" w:rsidRDefault="0085629A" w:rsidP="0085629A">
      <w:pPr>
        <w:spacing w:after="120"/>
        <w:rPr>
          <w:sz w:val="20"/>
          <w:szCs w:val="20"/>
        </w:rPr>
      </w:pP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Þorri hefst föstudag í 13. viku vetrar </w:t>
      </w:r>
      <w:r w:rsidRPr="003E6206">
        <w:rPr>
          <w:sz w:val="20"/>
        </w:rPr>
        <w:tab/>
      </w:r>
      <w:r w:rsidRPr="003E6206">
        <w:rPr>
          <w:sz w:val="20"/>
        </w:rPr>
        <w:tab/>
        <w:t>(19.–26. janúar)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Góa hefst sunnudag í 18. viku vetrar </w:t>
      </w:r>
      <w:r w:rsidRPr="003E6206">
        <w:rPr>
          <w:sz w:val="20"/>
        </w:rPr>
        <w:tab/>
      </w:r>
      <w:r w:rsidRPr="003E6206">
        <w:rPr>
          <w:sz w:val="20"/>
        </w:rPr>
        <w:tab/>
        <w:t>(18.–25. febrúar)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Einmánuður hefst þriðjudag í 22. viku vetrar </w:t>
      </w:r>
      <w:r w:rsidRPr="003E6206">
        <w:rPr>
          <w:sz w:val="20"/>
        </w:rPr>
        <w:tab/>
      </w:r>
      <w:r w:rsidRPr="003E6206">
        <w:rPr>
          <w:sz w:val="20"/>
        </w:rPr>
        <w:tab/>
        <w:t>(20.–26. mars)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Harpa hefst sumardaginn fyrsta, fimmtudag í 1. viku sumars </w:t>
      </w:r>
      <w:r w:rsidRPr="003E6206">
        <w:rPr>
          <w:sz w:val="20"/>
        </w:rPr>
        <w:tab/>
      </w:r>
      <w:r w:rsidRPr="003E6206">
        <w:rPr>
          <w:sz w:val="20"/>
        </w:rPr>
        <w:tab/>
        <w:t>(19.–25. apríl)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Skerpla hefst laugardag í 5. viku sumars </w:t>
      </w:r>
      <w:r w:rsidRPr="003E6206">
        <w:rPr>
          <w:sz w:val="20"/>
        </w:rPr>
        <w:tab/>
      </w:r>
      <w:r w:rsidRPr="003E6206">
        <w:rPr>
          <w:sz w:val="20"/>
        </w:rPr>
        <w:tab/>
        <w:t>(19.–25. maí)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Sólmánuður hefst mánudag í 9. viku sumars </w:t>
      </w:r>
      <w:r w:rsidRPr="003E6206">
        <w:rPr>
          <w:sz w:val="20"/>
        </w:rPr>
        <w:tab/>
      </w:r>
      <w:r w:rsidRPr="003E6206">
        <w:rPr>
          <w:sz w:val="20"/>
        </w:rPr>
        <w:tab/>
        <w:t>(18.–24. júní)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Heyannir hefjast á sunnudegi </w:t>
      </w:r>
      <w:r w:rsidRPr="003E6206">
        <w:rPr>
          <w:sz w:val="20"/>
        </w:rPr>
        <w:tab/>
      </w:r>
      <w:r w:rsidRPr="003E6206">
        <w:rPr>
          <w:sz w:val="20"/>
        </w:rPr>
        <w:tab/>
        <w:t>(23.–30. júlí)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Tvímánuður hefst þriðjudag í 18. viku sumars </w:t>
      </w:r>
      <w:r w:rsidRPr="003E6206">
        <w:rPr>
          <w:sz w:val="20"/>
        </w:rPr>
        <w:tab/>
      </w:r>
      <w:r w:rsidRPr="003E6206">
        <w:rPr>
          <w:sz w:val="20"/>
        </w:rPr>
        <w:tab/>
        <w:t>(22.–29. ágúst)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Haustmánuður hefst fimmtudag í 23. viku sumars </w:t>
      </w:r>
      <w:r w:rsidRPr="003E6206">
        <w:rPr>
          <w:sz w:val="20"/>
        </w:rPr>
        <w:tab/>
      </w:r>
      <w:r w:rsidRPr="003E6206">
        <w:rPr>
          <w:sz w:val="20"/>
        </w:rPr>
        <w:tab/>
        <w:t>(20.–26. september)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Gormánuður hefst fyrsta vetrardag, laugardag í 1. viku vetrar </w:t>
      </w:r>
      <w:r w:rsidRPr="003E6206">
        <w:rPr>
          <w:sz w:val="20"/>
        </w:rPr>
        <w:tab/>
      </w:r>
      <w:r w:rsidRPr="003E6206">
        <w:rPr>
          <w:sz w:val="20"/>
        </w:rPr>
        <w:tab/>
        <w:t>(21.–28. október)</w:t>
      </w:r>
    </w:p>
    <w:p w:rsidR="0085629A" w:rsidRPr="003E6206" w:rsidRDefault="0085629A" w:rsidP="0085629A">
      <w:pPr>
        <w:rPr>
          <w:sz w:val="20"/>
        </w:rPr>
      </w:pPr>
      <w:r w:rsidRPr="003E6206">
        <w:rPr>
          <w:sz w:val="20"/>
        </w:rPr>
        <w:t xml:space="preserve">Ýlir hefst mánudag í 5. viku vetrar </w:t>
      </w:r>
      <w:r w:rsidRPr="003E6206">
        <w:rPr>
          <w:sz w:val="20"/>
        </w:rPr>
        <w:tab/>
      </w:r>
      <w:r w:rsidRPr="003E6206">
        <w:rPr>
          <w:sz w:val="20"/>
        </w:rPr>
        <w:tab/>
        <w:t>(20.–27. nóvember)</w:t>
      </w:r>
    </w:p>
    <w:p w:rsidR="004C5870" w:rsidRDefault="0085629A" w:rsidP="0085629A">
      <w:r w:rsidRPr="003E6206">
        <w:rPr>
          <w:sz w:val="20"/>
        </w:rPr>
        <w:t xml:space="preserve">Mörsugur hefst miðvikudag í 9. viku vetrar </w:t>
      </w:r>
      <w:r w:rsidRPr="003E6206">
        <w:rPr>
          <w:sz w:val="20"/>
        </w:rPr>
        <w:tab/>
      </w:r>
      <w:r w:rsidRPr="003E6206">
        <w:rPr>
          <w:sz w:val="20"/>
        </w:rPr>
        <w:tab/>
        <w:t>(20.–27. desember)</w:t>
      </w:r>
    </w:p>
    <w:sectPr w:rsidR="004C5870" w:rsidSect="005F2158">
      <w:pgSz w:w="11907" w:h="16840" w:code="9"/>
      <w:pgMar w:top="1418" w:right="1418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9A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5F2158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5629A"/>
    <w:rsid w:val="008638F0"/>
    <w:rsid w:val="00864B9C"/>
    <w:rsid w:val="00922C4C"/>
    <w:rsid w:val="00946230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8246F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6AD8D-0155-4807-8930-F716E1F2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9A"/>
  </w:style>
  <w:style w:type="paragraph" w:styleId="Heading1">
    <w:name w:val="heading 1"/>
    <w:basedOn w:val="Normal"/>
    <w:next w:val="Normal"/>
    <w:link w:val="Heading1Char"/>
    <w:uiPriority w:val="9"/>
    <w:qFormat/>
    <w:rsid w:val="005F215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15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158"/>
    <w:rPr>
      <w:rFonts w:asciiTheme="majorHAnsi" w:eastAsiaTheme="majorEastAsia" w:hAnsiTheme="majorHAns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4841-F601-4E9F-AEB8-382D1562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5</cp:revision>
  <dcterms:created xsi:type="dcterms:W3CDTF">2015-05-24T17:55:00Z</dcterms:created>
  <dcterms:modified xsi:type="dcterms:W3CDTF">2015-12-22T11:47:00Z</dcterms:modified>
  <cp:contentStatus>16v</cp:contentStatus>
</cp:coreProperties>
</file>