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0E09" w14:textId="50BA6F25" w:rsidR="00AA2A5F" w:rsidRPr="00EE1450" w:rsidRDefault="00E15634" w:rsidP="0049782E">
      <w:pPr>
        <w:spacing w:after="120"/>
        <w:rPr>
          <w:lang w:val="en-GB"/>
        </w:rPr>
      </w:pPr>
      <w:bookmarkStart w:id="0" w:name="_Hlk15980047"/>
      <w:bookmarkEnd w:id="0"/>
      <w:r w:rsidRPr="00EE1450">
        <w:rPr>
          <w:lang w:val="en-GB"/>
        </w:rPr>
        <w:t>Bannda</w:t>
      </w:r>
      <w:r w:rsidR="00AA2A5F" w:rsidRPr="00EE1450">
        <w:rPr>
          <w:lang w:val="en-GB"/>
        </w:rPr>
        <w:t>ríkjadalur</w:t>
      </w:r>
    </w:p>
    <w:p w14:paraId="77777B13" w14:textId="25C3AB45" w:rsidR="00A00057" w:rsidRPr="00EE1450" w:rsidRDefault="00E15634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 xml:space="preserve">ríkjadalur, </w:t>
      </w:r>
      <w:r w:rsidR="00CA7E02">
        <w:rPr>
          <w:rFonts w:cstheme="minorHAnsi"/>
          <w:szCs w:val="20"/>
          <w:lang w:val="en-GB"/>
        </w:rPr>
        <w:t>b</w:t>
      </w:r>
      <w:r w:rsidRPr="00EE1450">
        <w:rPr>
          <w:rFonts w:cstheme="minorHAnsi"/>
          <w:szCs w:val="20"/>
          <w:lang w:val="en-GB"/>
        </w:rPr>
        <w:t>annda</w:t>
      </w:r>
      <w:r w:rsidR="00AA2A5F" w:rsidRPr="00EE1450">
        <w:rPr>
          <w:rFonts w:cstheme="minorHAnsi"/>
          <w:szCs w:val="20"/>
          <w:lang w:val="en-GB"/>
        </w:rPr>
        <w:t xml:space="preserve">rískur dalur eða dollari, er gjaldmiðill </w:t>
      </w: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Til eru ýmsar kenningar um uppruna merkisins, $, sem oft er kallað </w:t>
      </w:r>
      <w:r w:rsidR="006F10FA" w:rsidRPr="00EE1450">
        <w:rPr>
          <w:i/>
          <w:iCs/>
          <w:szCs w:val="20"/>
          <w:lang w:val="en-GB"/>
        </w:rPr>
        <w:t>dollaramerki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sjálft er mun eldra en gjaldmiðill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Einna líklegast þykir að það sé afbökun á tölunni 8 og hafi upprunalega verið notað til að vísa til spænskrar myntar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$ er notað í ýmsum löndum öðrum en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ríkjunum til að vísa til gjaldmiðils viðkomandi ríkis, yfirleitt pesóa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Til eru tvær útgáfur, önnur er eins og S með einu lóðréttu striki í gegn, hin með tveimur lóðréttum strikum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Ýmsir halda að $-merkið sé búið til með því að skrifa U yfir stafinn S og vísi til skammstöfunarinnar U.S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en það er ekki rétt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Orðið dollari er talið eiga rætur sínar að rekja til myntar sem slegin var úr silfri sem kom úr námum í Joachimstal (Jáchymov) í Bæheimi í Tékklandi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Myntin var fyrst kölluð Joachimstaler og það síðan stytt í taler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 xml:space="preserve">Tal er sama orðið og dalur á íslensku og því eðlilegt að tala um </w:t>
      </w:r>
      <w:r w:rsidRPr="00EE1450">
        <w:rPr>
          <w:rFonts w:cstheme="minorHAnsi"/>
          <w:szCs w:val="20"/>
          <w:lang w:val="en-GB"/>
        </w:rPr>
        <w:t>Bannda</w:t>
      </w:r>
      <w:r w:rsidR="00F52C2C" w:rsidRPr="00EE1450">
        <w:rPr>
          <w:rFonts w:cstheme="minorHAnsi"/>
          <w:szCs w:val="20"/>
          <w:lang w:val="en-GB"/>
        </w:rPr>
        <w:t>ríkjadali</w:t>
      </w:r>
      <w:r w:rsidRPr="00EE1450">
        <w:rPr>
          <w:rFonts w:cstheme="minorHAnsi"/>
          <w:szCs w:val="20"/>
          <w:lang w:val="en-GB"/>
        </w:rPr>
        <w:t xml:space="preserve">.  </w:t>
      </w:r>
    </w:p>
    <w:p w14:paraId="400BBFF3" w14:textId="762AD53F" w:rsidR="008B636C" w:rsidRPr="00EE1450" w:rsidRDefault="008B636C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noProof/>
          <w:lang w:val="en-GB" w:eastAsia="is-IS"/>
        </w:rPr>
        <w:drawing>
          <wp:inline distT="0" distB="0" distL="0" distR="0" wp14:anchorId="6404CD98" wp14:editId="538CB503">
            <wp:extent cx="1029162" cy="444321"/>
            <wp:effectExtent l="19050" t="19050" r="19050" b="133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917" r="4461" b="18924"/>
                    <a:stretch/>
                  </pic:blipFill>
                  <pic:spPr bwMode="auto">
                    <a:xfrm>
                      <a:off x="0" y="0"/>
                      <a:ext cx="1073395" cy="463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1F1E6" w14:textId="2FB41457" w:rsidR="00AA2A5F" w:rsidRPr="00EE1450" w:rsidRDefault="00AA2A5F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Lönd sem nota dali sem mynt</w:t>
      </w:r>
    </w:p>
    <w:p w14:paraId="77B9BF5F" w14:textId="20F57426" w:rsidR="00DF7FFE" w:rsidRPr="00EE1450" w:rsidRDefault="00E15634" w:rsidP="008B636C">
      <w:pPr>
        <w:rPr>
          <w:lang w:val="en-GB"/>
        </w:rPr>
      </w:pPr>
      <w:r w:rsidRPr="00EE1450">
        <w:rPr>
          <w:lang w:val="en-GB"/>
        </w:rPr>
        <w:t>Bannda</w:t>
      </w:r>
      <w:r w:rsidR="00DF7FFE" w:rsidRPr="00EE1450">
        <w:rPr>
          <w:lang w:val="en-GB"/>
        </w:rPr>
        <w:t>ríkin</w:t>
      </w:r>
    </w:p>
    <w:p w14:paraId="3903DDEF" w14:textId="6DD58EF3" w:rsidR="00A77E62" w:rsidRPr="00EE1450" w:rsidRDefault="006409CA" w:rsidP="008B636C">
      <w:pPr>
        <w:rPr>
          <w:lang w:val="en-GB"/>
        </w:rPr>
      </w:pPr>
      <w:r w:rsidRPr="00EE1450">
        <w:rPr>
          <w:rFonts w:cstheme="minorHAnsi"/>
          <w:b/>
          <w:noProof/>
          <w:szCs w:val="20"/>
          <w:lang w:val="en-GB" w:eastAsia="is-IS"/>
        </w:rPr>
        <w:drawing>
          <wp:anchor distT="0" distB="0" distL="114300" distR="114300" simplePos="0" relativeHeight="251658240" behindDoc="0" locked="0" layoutInCell="1" allowOverlap="1" wp14:anchorId="26685CA0" wp14:editId="42382579">
            <wp:simplePos x="0" y="0"/>
            <wp:positionH relativeFrom="column">
              <wp:posOffset>4845685</wp:posOffset>
            </wp:positionH>
            <wp:positionV relativeFrom="paragraph">
              <wp:posOffset>57150</wp:posOffset>
            </wp:positionV>
            <wp:extent cx="1237615" cy="1838960"/>
            <wp:effectExtent l="0" t="0" r="635" b="8890"/>
            <wp:wrapSquare wrapText="bothSides"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50000"/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2376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62" w:rsidRPr="00EE1450">
        <w:rPr>
          <w:lang w:val="en-GB"/>
        </w:rPr>
        <w:t>Norður-Marianaeyjar</w:t>
      </w:r>
    </w:p>
    <w:p w14:paraId="6465EB32" w14:textId="3E696F09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Gvam</w:t>
      </w:r>
    </w:p>
    <w:p w14:paraId="34FCC10B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El Salvador</w:t>
      </w:r>
    </w:p>
    <w:p w14:paraId="5F86A1B4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Ekvador</w:t>
      </w:r>
    </w:p>
    <w:p w14:paraId="4AF6670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Banndarísku Jómfrúaeyjar</w:t>
      </w:r>
    </w:p>
    <w:p w14:paraId="69DA91CA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Banndaríska Samóa</w:t>
      </w:r>
    </w:p>
    <w:p w14:paraId="3B4C067E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Puerto Rico</w:t>
      </w:r>
    </w:p>
    <w:p w14:paraId="673722B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Panama</w:t>
      </w:r>
    </w:p>
    <w:p w14:paraId="493AEF57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Smáeyjar Banndaríkjanna</w:t>
      </w:r>
    </w:p>
    <w:p w14:paraId="41E6BA86" w14:textId="4B847235" w:rsidR="001C7F40" w:rsidRPr="00EE1450" w:rsidRDefault="00AA2A5F" w:rsidP="00F66687">
      <w:pPr>
        <w:jc w:val="both"/>
        <w:rPr>
          <w:lang w:val="en-GB"/>
        </w:rPr>
      </w:pPr>
      <w:r w:rsidRPr="00EE1450">
        <w:rPr>
          <w:lang w:val="en-GB"/>
        </w:rPr>
        <w:t>Dalur, táknað með $, nefnist gjaldmiðill ýmissa landa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Nafnið er oft nokkuð misjafnt milli tungumála, þó rótin sé sú sama, til dæmis nota enskumælandi þjóðir orðið dollar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Á íslensku er orðið dalur þó oftast notað en stundum er einnig notað orðið dollari</w:t>
      </w:r>
      <w:r w:rsidR="00E15634" w:rsidRPr="00EE1450">
        <w:rPr>
          <w:lang w:val="en-GB"/>
        </w:rPr>
        <w:t>.  Bannda</w:t>
      </w:r>
      <w:r w:rsidR="00A00057" w:rsidRPr="00EE1450">
        <w:rPr>
          <w:lang w:val="en-GB"/>
        </w:rPr>
        <w:t>ríkjadalur er útbreiddasti gjaldmiðill heims.</w:t>
      </w:r>
    </w:p>
    <w:p w14:paraId="7B8B5A77" w14:textId="77777777" w:rsidR="00F30E47" w:rsidRPr="00EE1450" w:rsidRDefault="00F30E47" w:rsidP="00F30E47">
      <w:pPr>
        <w:pBdr>
          <w:bottom w:val="single" w:sz="4" w:space="1" w:color="auto"/>
        </w:pBdr>
        <w:rPr>
          <w:sz w:val="8"/>
          <w:szCs w:val="8"/>
          <w:lang w:val="en-GB"/>
        </w:rPr>
      </w:pPr>
    </w:p>
    <w:p w14:paraId="2C1A7527" w14:textId="77777777" w:rsidR="00F30E47" w:rsidRDefault="00F30E47" w:rsidP="00F30E47">
      <w:pPr>
        <w:rPr>
          <w:sz w:val="8"/>
          <w:szCs w:val="8"/>
          <w:lang w:val="en-GB"/>
        </w:rPr>
      </w:pPr>
    </w:p>
    <w:p w14:paraId="0E0D1EA1" w14:textId="77777777" w:rsidR="00F30E47" w:rsidRPr="00A5297E" w:rsidRDefault="00F30E47" w:rsidP="00F30E47">
      <w:pPr>
        <w:rPr>
          <w:szCs w:val="20"/>
          <w:lang w:val="en-GB"/>
        </w:rPr>
      </w:pPr>
    </w:p>
    <w:p w14:paraId="285CC894" w14:textId="77777777" w:rsidR="00F30E47" w:rsidRPr="00A5297E" w:rsidRDefault="00F30E47" w:rsidP="00F30E47">
      <w:pPr>
        <w:rPr>
          <w:szCs w:val="20"/>
          <w:lang w:val="en-GB"/>
        </w:rPr>
      </w:pPr>
      <w:r w:rsidRPr="00773ABD">
        <w:rPr>
          <w:noProof/>
          <w:lang w:val="en-GB"/>
        </w:rPr>
        <w:drawing>
          <wp:inline distT="0" distB="0" distL="0" distR="0" wp14:anchorId="0A879130" wp14:editId="00E53DCE">
            <wp:extent cx="559966" cy="93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9C5" w14:textId="2BB08B52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Gjaldmiðill eða verðmiðill nefnist eining sem gefur til kynna verðmæti og er notuð sem greiðslumiðill í viðskiptum með vörur og þjónustu</w:t>
      </w:r>
      <w:r w:rsidR="00E15634" w:rsidRPr="00EE1450">
        <w:rPr>
          <w:lang w:val="en-GB"/>
        </w:rPr>
        <w:t xml:space="preserve">.  </w:t>
      </w:r>
    </w:p>
    <w:p w14:paraId="1582B006" w14:textId="03F4B75C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Gjaldmiðlar eru eitt form peninga ef peningar eru skilgreindir sem flutningsmiðill verðmæta sem hafa þó ekki eiginlegt verðmæti sjálfir</w:t>
      </w:r>
      <w:r w:rsidR="00E15634" w:rsidRPr="00EE1450">
        <w:rPr>
          <w:lang w:val="en-GB"/>
        </w:rPr>
        <w:t xml:space="preserve">.  </w:t>
      </w:r>
    </w:p>
    <w:p w14:paraId="51A7878F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Oftast er aðeins einn gjaldmiðill ráðandi á tilteknu svæði.</w:t>
      </w:r>
    </w:p>
    <w:p w14:paraId="23084754" w14:textId="78FC754D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Til þess að auðvelda viðskipti milli svæða með mismunandi gjaldmiðla er gengi þeirra skráð, þ.e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verðmæti gjaldmiðla gagnvart hverjum öðrum</w:t>
      </w:r>
      <w:r w:rsidR="00E15634" w:rsidRPr="00EE1450">
        <w:rPr>
          <w:lang w:val="en-GB"/>
        </w:rPr>
        <w:t xml:space="preserve">.  </w:t>
      </w:r>
    </w:p>
    <w:p w14:paraId="0FA514D8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Gengi gjaldmiðils ræðst af lögmálum framboðs og eftirspurnar á sama hátt og verð á vörum og þjónustu.</w:t>
      </w:r>
    </w:p>
    <w:p w14:paraId="374E75BC" w14:textId="77777777" w:rsidR="00EF2EF9" w:rsidRPr="00EE1450" w:rsidRDefault="00EF2EF9" w:rsidP="00DF1930">
      <w:pPr>
        <w:rPr>
          <w:rFonts w:cstheme="minorHAnsi"/>
          <w:szCs w:val="20"/>
          <w:lang w:val="en-GB"/>
        </w:rPr>
      </w:pPr>
    </w:p>
    <w:p w14:paraId="65EA5C79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Tákn nokkurra gjaldmiðla</w:t>
      </w:r>
      <w:r w:rsidRPr="00EE1450">
        <w:rPr>
          <w:rFonts w:cstheme="minorHAnsi"/>
          <w:szCs w:val="20"/>
          <w:lang w:val="en-GB"/>
        </w:rPr>
        <w:tab/>
        <w:t>Dollari</w:t>
      </w:r>
      <w:r w:rsidRPr="00EE1450">
        <w:rPr>
          <w:rFonts w:cstheme="minorHAnsi"/>
          <w:szCs w:val="20"/>
          <w:lang w:val="en-GB"/>
        </w:rPr>
        <w:tab/>
        <w:t>Evra</w:t>
      </w:r>
      <w:r w:rsidRPr="00EE1450">
        <w:rPr>
          <w:rFonts w:cstheme="minorHAnsi"/>
          <w:szCs w:val="20"/>
          <w:lang w:val="en-GB"/>
        </w:rPr>
        <w:tab/>
        <w:t>Pund</w:t>
      </w:r>
      <w:r w:rsidRPr="00EE1450">
        <w:rPr>
          <w:rFonts w:cstheme="minorHAnsi"/>
          <w:szCs w:val="20"/>
          <w:lang w:val="en-GB"/>
        </w:rPr>
        <w:tab/>
        <w:t>Jen</w:t>
      </w:r>
    </w:p>
    <w:p w14:paraId="6AEA87B7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426557B0" wp14:editId="44E1DD78">
            <wp:extent cx="180000" cy="180000"/>
            <wp:effectExtent l="0" t="0" r="0" b="0"/>
            <wp:docPr id="3" name="Graphic 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27FA18F7" wp14:editId="409C8370">
            <wp:extent cx="180000" cy="180000"/>
            <wp:effectExtent l="0" t="0" r="0" b="0"/>
            <wp:docPr id="5" name="Graphic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4F6B3302" wp14:editId="5E90ACF7">
            <wp:extent cx="180000" cy="180000"/>
            <wp:effectExtent l="0" t="0" r="0" b="0"/>
            <wp:docPr id="7" name="Graphic 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nd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noProof/>
          <w:szCs w:val="20"/>
          <w:lang w:val="en-GB"/>
        </w:rPr>
        <w:drawing>
          <wp:inline distT="0" distB="0" distL="0" distR="0" wp14:anchorId="6F486661" wp14:editId="478C9199">
            <wp:extent cx="180000" cy="180000"/>
            <wp:effectExtent l="0" t="0" r="0" b="0"/>
            <wp:docPr id="8" name="Graphic 8" descr="Y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ua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123F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Íslensk króna</w:t>
      </w:r>
    </w:p>
    <w:p w14:paraId="145DE2C5" w14:textId="5432C99C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Íslensk króna (ISK, oft skammstöfuð kr.) er opinber gjaldmiðill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Íslensk króna var fyrst gefin út af Landsbankanum árið 1876 á föstu gengi gagnvart dönsku krónunni og var hún þannig tengd verði á gulli með aðild að norræna mynt</w:t>
      </w:r>
      <w:r w:rsidR="000846B7">
        <w:rPr>
          <w:rFonts w:cstheme="minorHAnsi"/>
          <w:szCs w:val="20"/>
          <w:lang w:val="en-GB"/>
        </w:rPr>
        <w:t>b</w:t>
      </w:r>
      <w:r w:rsidR="00E15634" w:rsidRPr="00EE1450">
        <w:rPr>
          <w:rFonts w:cstheme="minorHAnsi"/>
          <w:szCs w:val="20"/>
          <w:lang w:val="en-GB"/>
        </w:rPr>
        <w:t>a</w:t>
      </w:r>
      <w:r w:rsidR="009B3DB0">
        <w:rPr>
          <w:rFonts w:cstheme="minorHAnsi"/>
          <w:szCs w:val="20"/>
          <w:lang w:val="en-GB"/>
        </w:rPr>
        <w:t>n</w:t>
      </w:r>
      <w:r w:rsidR="00E15634" w:rsidRPr="00EE1450">
        <w:rPr>
          <w:rFonts w:cstheme="minorHAnsi"/>
          <w:szCs w:val="20"/>
          <w:lang w:val="en-GB"/>
        </w:rPr>
        <w:t>da</w:t>
      </w:r>
      <w:r w:rsidRPr="00EE1450">
        <w:rPr>
          <w:rFonts w:cstheme="minorHAnsi"/>
          <w:szCs w:val="20"/>
          <w:lang w:val="en-GB"/>
        </w:rPr>
        <w:t>laginu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70D14B66" w14:textId="75EA7705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Íslands var stofnaður árið 1961 og frá árinu 1966 hefur hann haft einkarétt til útgáfu lögeyris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Árið 1981 var gerð myntbreyting þar sem felld voru brott tvö núll af verðgildi krónunnar, þannig að 100 gamlar krónur urðu að 1 nýrri krónu.</w:t>
      </w:r>
    </w:p>
    <w:p w14:paraId="30A4AEAA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Evra – Seðlar og mynt</w:t>
      </w:r>
    </w:p>
    <w:p w14:paraId="3E6CB80B" w14:textId="63F6605F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Evran varð opinberlega til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1999 en þá aðeins sem rafrænn gjaldmiðill þar sem gengi gömlu gjaldmiðlanna var fryst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Seðlar og mynt komu hins vegar í umferð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2002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Útlit seðlanna er eins í öllum aðildarríkjum á meðan framhliðar myntarinnar eru eins en bakhliðarnar mismunandi eftir útgáfulöndum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6BDD41BB" w14:textId="77777777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Evrópu ákvað árið 2016 að allir 500€ seðlar yrðu teknir úr umferð fyrir árslok árið 2018.</w:t>
      </w:r>
    </w:p>
    <w:p w14:paraId="7318A972" w14:textId="7E49A10A" w:rsidR="001D1ED0" w:rsidRPr="00EE1450" w:rsidRDefault="001D1ED0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lastRenderedPageBreak/>
        <w:t>Gengi 14</w:t>
      </w:r>
      <w:r w:rsidR="00E15634" w:rsidRPr="00EE1450">
        <w:rPr>
          <w:b/>
          <w:bCs/>
          <w:sz w:val="22"/>
          <w:szCs w:val="24"/>
          <w:lang w:val="en-GB"/>
        </w:rPr>
        <w:t xml:space="preserve">.  </w:t>
      </w:r>
      <w:r w:rsidRPr="00EE1450">
        <w:rPr>
          <w:b/>
          <w:bCs/>
          <w:sz w:val="22"/>
          <w:szCs w:val="24"/>
          <w:lang w:val="en-GB"/>
        </w:rPr>
        <w:t>júlí 2019 – Kaup og sala</w:t>
      </w:r>
    </w:p>
    <w:p w14:paraId="142961E5" w14:textId="322EC300" w:rsidR="001D1ED0" w:rsidRPr="00EE1450" w:rsidRDefault="00E15634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1D1ED0" w:rsidRPr="00EE1450">
        <w:rPr>
          <w:rFonts w:cstheme="minorHAnsi"/>
          <w:szCs w:val="20"/>
          <w:lang w:val="en-GB"/>
        </w:rPr>
        <w:t>ríkjadalur</w:t>
      </w:r>
      <w:r w:rsidR="001D1ED0" w:rsidRPr="00EE1450">
        <w:rPr>
          <w:rFonts w:cstheme="minorHAnsi"/>
          <w:szCs w:val="20"/>
          <w:lang w:val="en-GB"/>
        </w:rPr>
        <w:tab/>
      </w:r>
      <w:r w:rsidR="001D1ED0" w:rsidRPr="00EE1450">
        <w:rPr>
          <w:rFonts w:cstheme="minorHAnsi"/>
          <w:szCs w:val="20"/>
          <w:lang w:val="en-GB"/>
        </w:rPr>
        <w:tab/>
        <w:t>USD</w:t>
      </w:r>
      <w:r w:rsidR="001D1ED0" w:rsidRPr="00EE1450">
        <w:rPr>
          <w:rFonts w:cstheme="minorHAnsi"/>
          <w:szCs w:val="20"/>
          <w:lang w:val="en-GB"/>
        </w:rPr>
        <w:tab/>
        <w:t>121,86</w:t>
      </w:r>
      <w:r w:rsidR="001D1ED0" w:rsidRPr="00EE1450">
        <w:rPr>
          <w:rFonts w:cstheme="minorHAnsi"/>
          <w:szCs w:val="20"/>
          <w:lang w:val="en-GB"/>
        </w:rPr>
        <w:tab/>
        <w:t>122,26</w:t>
      </w:r>
    </w:p>
    <w:p w14:paraId="71C31F6B" w14:textId="1C6CA898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EUR</w:t>
      </w:r>
      <w:r w:rsidRPr="00EE1450">
        <w:rPr>
          <w:rFonts w:cstheme="minorHAnsi"/>
          <w:szCs w:val="20"/>
          <w:lang w:val="en-GB"/>
        </w:rPr>
        <w:tab/>
        <w:t>131,66</w:t>
      </w:r>
      <w:r w:rsidR="001D1ED0" w:rsidRPr="00EE1450">
        <w:rPr>
          <w:rFonts w:cstheme="minorHAnsi"/>
          <w:szCs w:val="20"/>
          <w:lang w:val="en-GB"/>
        </w:rPr>
        <w:t>1</w:t>
      </w:r>
      <w:r w:rsidRPr="00EE1450">
        <w:rPr>
          <w:rFonts w:cstheme="minorHAnsi"/>
          <w:szCs w:val="20"/>
          <w:lang w:val="en-GB"/>
        </w:rPr>
        <w:tab/>
        <w:t>140,27</w:t>
      </w:r>
      <w:r w:rsidR="001D1ED0" w:rsidRPr="00EE1450">
        <w:rPr>
          <w:rFonts w:cstheme="minorHAnsi"/>
          <w:szCs w:val="20"/>
          <w:lang w:val="en-GB"/>
        </w:rPr>
        <w:t>1</w:t>
      </w:r>
    </w:p>
    <w:p w14:paraId="6599506B" w14:textId="77777777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Japanskt jen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JPY</w:t>
      </w:r>
      <w:r w:rsidRPr="00EE1450">
        <w:rPr>
          <w:rFonts w:cstheme="minorHAnsi"/>
          <w:szCs w:val="20"/>
          <w:lang w:val="en-GB"/>
        </w:rPr>
        <w:tab/>
        <w:t>1,0713</w:t>
      </w:r>
      <w:r w:rsidRPr="00EE1450">
        <w:rPr>
          <w:rFonts w:cstheme="minorHAnsi"/>
          <w:szCs w:val="20"/>
          <w:lang w:val="en-GB"/>
        </w:rPr>
        <w:tab/>
        <w:t>1,1525</w:t>
      </w:r>
    </w:p>
    <w:p w14:paraId="45AEFF26" w14:textId="44223982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 xml:space="preserve">Pólskt </w:t>
      </w:r>
      <w:r w:rsidR="00A17975" w:rsidRPr="00EE1450">
        <w:rPr>
          <w:rFonts w:cstheme="minorHAnsi"/>
          <w:szCs w:val="20"/>
          <w:lang w:val="en-GB"/>
        </w:rPr>
        <w:t>z</w:t>
      </w:r>
      <w:r w:rsidRPr="00EE1450">
        <w:rPr>
          <w:rFonts w:cstheme="minorHAnsi"/>
          <w:szCs w:val="20"/>
          <w:lang w:val="en-GB"/>
        </w:rPr>
        <w:t>loty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PLN</w:t>
      </w:r>
      <w:r w:rsidRPr="00EE1450">
        <w:rPr>
          <w:rFonts w:cstheme="minorHAnsi"/>
          <w:szCs w:val="20"/>
          <w:lang w:val="en-GB"/>
        </w:rPr>
        <w:tab/>
        <w:t>30,629</w:t>
      </w:r>
      <w:r w:rsidRPr="00EE1450">
        <w:rPr>
          <w:rFonts w:cstheme="minorHAnsi"/>
          <w:szCs w:val="20"/>
          <w:lang w:val="en-GB"/>
        </w:rPr>
        <w:tab/>
        <w:t>33,001</w:t>
      </w:r>
    </w:p>
    <w:p w14:paraId="657F2C52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4BF7C6B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114E2E0" w14:textId="54ACD87F" w:rsidR="005534BC" w:rsidRPr="00EE1450" w:rsidRDefault="005534BC" w:rsidP="008B636C">
      <w:pPr>
        <w:rPr>
          <w:lang w:val="en-GB"/>
        </w:rPr>
      </w:pPr>
    </w:p>
    <w:p w14:paraId="52B5DC9A" w14:textId="77777777" w:rsidR="008B636C" w:rsidRPr="00EE1450" w:rsidRDefault="008B636C" w:rsidP="00BC6336">
      <w:pPr>
        <w:rPr>
          <w:rFonts w:cstheme="minorHAnsi"/>
          <w:b/>
          <w:bCs/>
          <w:szCs w:val="20"/>
          <w:lang w:val="en-GB"/>
        </w:rPr>
      </w:pPr>
      <w:r w:rsidRPr="00EE1450">
        <w:rPr>
          <w:rFonts w:cstheme="minorHAnsi"/>
          <w:sz w:val="24"/>
          <w:szCs w:val="18"/>
          <w:lang w:val="en-GB"/>
        </w:rPr>
        <w:t>Bankar</w:t>
      </w:r>
    </w:p>
    <w:p w14:paraId="25DCE28E" w14:textId="38FD2F3B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Seðlabanki</w:t>
      </w:r>
      <w:r w:rsidRPr="00EE1450">
        <w:rPr>
          <w:rFonts w:cstheme="minorHAnsi"/>
          <w:sz w:val="18"/>
          <w:szCs w:val="18"/>
          <w:lang w:val="en-GB"/>
        </w:rPr>
        <w:tab/>
        <w:t>Seðlabanki er banki sem stjórnar gjaldmiðli og peningamálastefnu ríkis eða hóps ríkja sem eru í mynt</w:t>
      </w:r>
      <w:r w:rsidR="00E15634" w:rsidRPr="00EE1450">
        <w:rPr>
          <w:rFonts w:cstheme="minorHAnsi"/>
          <w:sz w:val="18"/>
          <w:szCs w:val="18"/>
          <w:lang w:val="en-GB"/>
        </w:rPr>
        <w:t>bannda</w:t>
      </w:r>
      <w:r w:rsidRPr="00EE1450">
        <w:rPr>
          <w:rFonts w:cstheme="minorHAnsi"/>
          <w:sz w:val="18"/>
          <w:szCs w:val="18"/>
          <w:lang w:val="en-GB"/>
        </w:rPr>
        <w:t>lagi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25EC1690" w14:textId="77777777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Heimabanki</w:t>
      </w:r>
      <w:r w:rsidRPr="00EE1450">
        <w:rPr>
          <w:rFonts w:cstheme="minorHAnsi"/>
          <w:sz w:val="18"/>
          <w:szCs w:val="18"/>
          <w:lang w:val="en-GB"/>
        </w:rPr>
        <w:tab/>
        <w:t>Heimabanki eða netbanki er forrit sem býður viðskiptavinum banka möguleika á því að nálgast bankaþjónustu í gegnum heimilistölvu eða annað tæki (til dæmis snjallsíma).</w:t>
      </w:r>
    </w:p>
    <w:p w14:paraId="6D2A55E5" w14:textId="65796613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Hraðbanki</w:t>
      </w:r>
      <w:r w:rsidRPr="00EE1450">
        <w:rPr>
          <w:rFonts w:cstheme="minorHAnsi"/>
          <w:sz w:val="18"/>
          <w:szCs w:val="18"/>
          <w:lang w:val="en-GB"/>
        </w:rPr>
        <w:tab/>
        <w:t>Hraðbanki er tölvustýrð sjálfsafgreiðsluvél sem gerir viðskiptavinum banka kleift að athuga stöðu bankareikninganna sinna, taka peninga út og stundum leggja þá inn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3E717ACA" w14:textId="77777777" w:rsidR="001D1ED0" w:rsidRPr="00EE1450" w:rsidRDefault="001D1ED0" w:rsidP="001D1ED0">
      <w:pPr>
        <w:rPr>
          <w:rFonts w:cstheme="minorHAnsi"/>
          <w:szCs w:val="20"/>
          <w:lang w:val="en-GB"/>
        </w:rPr>
      </w:pPr>
    </w:p>
    <w:p w14:paraId="0A22AD84" w14:textId="52F0EED5" w:rsidR="001D1ED0" w:rsidRPr="00EE1450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Segulrönd</w:t>
      </w:r>
      <w:r w:rsidRPr="00EE1450">
        <w:rPr>
          <w:lang w:val="en-GB"/>
        </w:rPr>
        <w:t xml:space="preserve"> er tölvutækt band úr segulmögnuðu efni sem inniheldur gögn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Segulrandir eru helst notaðar á greiðslukortum, auðkenniskortum eða aðgangskortum</w:t>
      </w:r>
      <w:r w:rsidR="00E15634" w:rsidRPr="00EE1450">
        <w:rPr>
          <w:lang w:val="en-GB"/>
        </w:rPr>
        <w:t xml:space="preserve">.  </w:t>
      </w:r>
    </w:p>
    <w:p w14:paraId="6F6746F0" w14:textId="1C95AC78" w:rsidR="001D1ED0" w:rsidRPr="00EE1450" w:rsidRDefault="001D1ED0" w:rsidP="00B843F1">
      <w:pPr>
        <w:jc w:val="both"/>
        <w:rPr>
          <w:lang w:val="en-GB"/>
        </w:rPr>
      </w:pPr>
      <w:bookmarkStart w:id="1" w:name="_Hlk8907286"/>
      <w:r w:rsidRPr="00EE1450">
        <w:rPr>
          <w:b/>
          <w:lang w:val="en-GB"/>
        </w:rPr>
        <w:t>PIN</w:t>
      </w:r>
      <w:r w:rsidRPr="00EE1450">
        <w:rPr>
          <w:lang w:val="en-GB"/>
        </w:rPr>
        <w:t>-númer er númer sem er notað til að staðfesta deili notandans við notkun einhvers kerfis eða þjónustu</w:t>
      </w:r>
      <w:r w:rsidR="00E15634" w:rsidRPr="00EE1450">
        <w:rPr>
          <w:lang w:val="en-GB"/>
        </w:rPr>
        <w:t xml:space="preserve">.  </w:t>
      </w:r>
      <w:r w:rsidRPr="00EE1450">
        <w:rPr>
          <w:b/>
          <w:bCs/>
          <w:lang w:val="en-GB"/>
        </w:rPr>
        <w:t>PIN</w:t>
      </w:r>
      <w:r w:rsidRPr="00EE1450">
        <w:rPr>
          <w:lang w:val="en-GB"/>
        </w:rPr>
        <w:t>-númer eru helst notuð með debet- og kreditkortum til að staðfesta greiðslur</w:t>
      </w:r>
      <w:r w:rsidR="00E15634" w:rsidRPr="00EE1450">
        <w:rPr>
          <w:lang w:val="en-GB"/>
        </w:rPr>
        <w:t xml:space="preserve">.  </w:t>
      </w:r>
    </w:p>
    <w:p w14:paraId="5D675184" w14:textId="5FAF2ABD" w:rsidR="00ED608F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er einfalt og öruggt í notkun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 xml:space="preserve">Þegar greiðslukort er tengt við </w:t>
      </w: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vistast kortanúmerið hvorki í tækið né á netþjóna Apple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Þess í stað er sérstökum sýndarnúmerum úthlutað, þau dulkóðuð og geymd með öruggum hætti í því tæki sem notað er, hvort sem það er iPhone-sími, Apple Watch-úr eða Mac-tölva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Jafnframt þarf notandi að auðkenna sig með fingrafara- eða andlitsskanna iPhone-símans áður en greiðsla er framkvæmd.</w:t>
      </w:r>
      <w:r w:rsidR="002D30D2" w:rsidRPr="002D30D2">
        <w:rPr>
          <w:noProof/>
          <w:lang w:val="en-GB"/>
        </w:rPr>
        <w:t xml:space="preserve"> </w:t>
      </w:r>
    </w:p>
    <w:p w14:paraId="5E07832E" w14:textId="77777777" w:rsidR="00ED608F" w:rsidRDefault="00ED608F" w:rsidP="00B843F1">
      <w:pPr>
        <w:jc w:val="both"/>
        <w:rPr>
          <w:noProof/>
          <w:lang w:val="en-GB"/>
        </w:rPr>
      </w:pPr>
    </w:p>
    <w:p w14:paraId="6EDDE3DD" w14:textId="14E98385" w:rsidR="001D1ED0" w:rsidRPr="00EE1450" w:rsidRDefault="002D30D2" w:rsidP="00B843F1">
      <w:pPr>
        <w:jc w:val="both"/>
        <w:rPr>
          <w:noProof/>
          <w:lang w:val="en-GB"/>
        </w:rPr>
      </w:pPr>
      <w:r w:rsidRPr="00EE1450">
        <w:rPr>
          <w:noProof/>
          <w:lang w:val="en-GB"/>
        </w:rPr>
        <w:drawing>
          <wp:inline distT="0" distB="0" distL="0" distR="0" wp14:anchorId="01EA3C16" wp14:editId="796BC300">
            <wp:extent cx="608001" cy="360000"/>
            <wp:effectExtent l="19050" t="19050" r="2095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001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37DC7CEC" w14:textId="77777777" w:rsidR="0058757E" w:rsidRPr="00EE1450" w:rsidRDefault="0058757E" w:rsidP="0058757E">
      <w:pPr>
        <w:rPr>
          <w:rFonts w:cstheme="minorHAnsi"/>
          <w:szCs w:val="20"/>
          <w:lang w:val="en-GB"/>
        </w:rPr>
      </w:pPr>
    </w:p>
    <w:p w14:paraId="20B13471" w14:textId="77777777" w:rsidR="0058757E" w:rsidRPr="00EE1450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Töfluyfirlit</w:t>
      </w:r>
    </w:p>
    <w:p w14:paraId="49358A33" w14:textId="77777777" w:rsidR="0058757E" w:rsidRPr="00EE1450" w:rsidRDefault="0058757E" w:rsidP="0058757E">
      <w:pPr>
        <w:rPr>
          <w:rFonts w:eastAsia="Times New Roman" w:cstheme="minorHAnsi"/>
          <w:szCs w:val="20"/>
          <w:lang w:val="en-GB"/>
        </w:rPr>
      </w:pPr>
    </w:p>
    <w:p w14:paraId="11ED92AE" w14:textId="680B4769" w:rsidR="0058757E" w:rsidRPr="007572C9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Myndayfirlit</w:t>
      </w:r>
    </w:p>
    <w:p w14:paraId="6BD0B6C8" w14:textId="4101033A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5EE5A98D" w14:textId="77777777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7471E2DD" w14:textId="498EE593" w:rsidR="009B3DB0" w:rsidRDefault="009B3DB0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  <w:r w:rsidRPr="001A6FFA">
        <w:rPr>
          <w:rFonts w:cstheme="minorHAnsi"/>
          <w:color w:val="FFFFFF" w:themeColor="background1"/>
          <w:sz w:val="2"/>
          <w:szCs w:val="2"/>
          <w:lang w:val="en-GB"/>
        </w:rPr>
        <w:t>bannda</w:t>
      </w:r>
    </w:p>
    <w:p w14:paraId="0A0A2713" w14:textId="4289C23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39EDA329" w14:textId="6C991F2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494E05E5" w14:textId="51450878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6062BB1C" w14:textId="46B10101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0F80696B" w14:textId="77777777" w:rsidR="001A6FFA" w:rsidRP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sectPr w:rsidR="001A6FFA" w:rsidRPr="001A6FFA" w:rsidSect="002A2A00">
      <w:type w:val="continuous"/>
      <w:pgSz w:w="11906" w:h="16838" w:code="9"/>
      <w:pgMar w:top="1021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733B" w14:textId="77777777" w:rsidR="00326F09" w:rsidRDefault="00326F09" w:rsidP="00AA2A5F">
      <w:r>
        <w:separator/>
      </w:r>
    </w:p>
  </w:endnote>
  <w:endnote w:type="continuationSeparator" w:id="0">
    <w:p w14:paraId="29E564A1" w14:textId="77777777" w:rsidR="00326F09" w:rsidRDefault="00326F09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0D61" w14:textId="77777777" w:rsidR="00326F09" w:rsidRDefault="00326F09" w:rsidP="00AA2A5F">
      <w:r>
        <w:separator/>
      </w:r>
    </w:p>
  </w:footnote>
  <w:footnote w:type="continuationSeparator" w:id="0">
    <w:p w14:paraId="2B2272FF" w14:textId="77777777" w:rsidR="00326F09" w:rsidRDefault="00326F09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215E1"/>
    <w:rsid w:val="0003132D"/>
    <w:rsid w:val="00045125"/>
    <w:rsid w:val="0005139E"/>
    <w:rsid w:val="00082F46"/>
    <w:rsid w:val="0008402F"/>
    <w:rsid w:val="000846B7"/>
    <w:rsid w:val="000B12CF"/>
    <w:rsid w:val="00123174"/>
    <w:rsid w:val="00124B43"/>
    <w:rsid w:val="00137BA7"/>
    <w:rsid w:val="00150D27"/>
    <w:rsid w:val="001727E4"/>
    <w:rsid w:val="001878E6"/>
    <w:rsid w:val="001A6FFA"/>
    <w:rsid w:val="001B0A2F"/>
    <w:rsid w:val="001C7F40"/>
    <w:rsid w:val="001D1DD2"/>
    <w:rsid w:val="001D1ED0"/>
    <w:rsid w:val="001E4B1F"/>
    <w:rsid w:val="00211148"/>
    <w:rsid w:val="002336A5"/>
    <w:rsid w:val="0025183D"/>
    <w:rsid w:val="00262822"/>
    <w:rsid w:val="00262C44"/>
    <w:rsid w:val="002846E0"/>
    <w:rsid w:val="002872A1"/>
    <w:rsid w:val="00296388"/>
    <w:rsid w:val="002A2A00"/>
    <w:rsid w:val="002A6A42"/>
    <w:rsid w:val="002A793D"/>
    <w:rsid w:val="002C6409"/>
    <w:rsid w:val="002C6824"/>
    <w:rsid w:val="002D013E"/>
    <w:rsid w:val="002D30D2"/>
    <w:rsid w:val="002D68E8"/>
    <w:rsid w:val="002E519C"/>
    <w:rsid w:val="00314EE1"/>
    <w:rsid w:val="00322EE0"/>
    <w:rsid w:val="00326F09"/>
    <w:rsid w:val="00332277"/>
    <w:rsid w:val="00351565"/>
    <w:rsid w:val="0036085A"/>
    <w:rsid w:val="00363C67"/>
    <w:rsid w:val="0037072F"/>
    <w:rsid w:val="00371D6C"/>
    <w:rsid w:val="003728F9"/>
    <w:rsid w:val="00381933"/>
    <w:rsid w:val="003A546E"/>
    <w:rsid w:val="003B5FF5"/>
    <w:rsid w:val="003C0C63"/>
    <w:rsid w:val="003D46E7"/>
    <w:rsid w:val="003E513D"/>
    <w:rsid w:val="003F3618"/>
    <w:rsid w:val="004237FF"/>
    <w:rsid w:val="00430D0A"/>
    <w:rsid w:val="004569BD"/>
    <w:rsid w:val="0046087C"/>
    <w:rsid w:val="00462739"/>
    <w:rsid w:val="00463F9E"/>
    <w:rsid w:val="004648D0"/>
    <w:rsid w:val="00465B65"/>
    <w:rsid w:val="0049782E"/>
    <w:rsid w:val="004A26C0"/>
    <w:rsid w:val="004D4CE8"/>
    <w:rsid w:val="004D7911"/>
    <w:rsid w:val="004E346B"/>
    <w:rsid w:val="005058EC"/>
    <w:rsid w:val="005534BC"/>
    <w:rsid w:val="00553ADD"/>
    <w:rsid w:val="00573EEE"/>
    <w:rsid w:val="00581BCB"/>
    <w:rsid w:val="0058757E"/>
    <w:rsid w:val="005A57C1"/>
    <w:rsid w:val="005B2843"/>
    <w:rsid w:val="005C170E"/>
    <w:rsid w:val="005C45A4"/>
    <w:rsid w:val="005D1CE0"/>
    <w:rsid w:val="006118C8"/>
    <w:rsid w:val="00620600"/>
    <w:rsid w:val="00623D0B"/>
    <w:rsid w:val="006409CA"/>
    <w:rsid w:val="00666F55"/>
    <w:rsid w:val="006B4F83"/>
    <w:rsid w:val="006C7C79"/>
    <w:rsid w:val="006E15E7"/>
    <w:rsid w:val="006F10FA"/>
    <w:rsid w:val="006F1794"/>
    <w:rsid w:val="00704E9D"/>
    <w:rsid w:val="007310AB"/>
    <w:rsid w:val="00732487"/>
    <w:rsid w:val="007572C9"/>
    <w:rsid w:val="007574C4"/>
    <w:rsid w:val="007708E3"/>
    <w:rsid w:val="007D5533"/>
    <w:rsid w:val="00805798"/>
    <w:rsid w:val="00811C8C"/>
    <w:rsid w:val="00826546"/>
    <w:rsid w:val="008405FA"/>
    <w:rsid w:val="00841BA2"/>
    <w:rsid w:val="0084718F"/>
    <w:rsid w:val="00863034"/>
    <w:rsid w:val="0086697B"/>
    <w:rsid w:val="00893E9F"/>
    <w:rsid w:val="008975FC"/>
    <w:rsid w:val="008B636C"/>
    <w:rsid w:val="008C7ABB"/>
    <w:rsid w:val="008E25CD"/>
    <w:rsid w:val="008E7D5F"/>
    <w:rsid w:val="008F10F0"/>
    <w:rsid w:val="008F7704"/>
    <w:rsid w:val="00903225"/>
    <w:rsid w:val="00917B1B"/>
    <w:rsid w:val="00920839"/>
    <w:rsid w:val="00930D16"/>
    <w:rsid w:val="00953D46"/>
    <w:rsid w:val="00960BF3"/>
    <w:rsid w:val="00987376"/>
    <w:rsid w:val="009A1C06"/>
    <w:rsid w:val="009B3DB0"/>
    <w:rsid w:val="009B735B"/>
    <w:rsid w:val="009D24A4"/>
    <w:rsid w:val="009D32A3"/>
    <w:rsid w:val="009E4745"/>
    <w:rsid w:val="009F7F04"/>
    <w:rsid w:val="00A00057"/>
    <w:rsid w:val="00A14EBF"/>
    <w:rsid w:val="00A17975"/>
    <w:rsid w:val="00A2251F"/>
    <w:rsid w:val="00A23EEC"/>
    <w:rsid w:val="00A37F32"/>
    <w:rsid w:val="00A61DB8"/>
    <w:rsid w:val="00A7512C"/>
    <w:rsid w:val="00A77E62"/>
    <w:rsid w:val="00AA09DA"/>
    <w:rsid w:val="00AA170A"/>
    <w:rsid w:val="00AA2A5F"/>
    <w:rsid w:val="00AA73FE"/>
    <w:rsid w:val="00AE3164"/>
    <w:rsid w:val="00AF1AC0"/>
    <w:rsid w:val="00B43D75"/>
    <w:rsid w:val="00B51517"/>
    <w:rsid w:val="00B56755"/>
    <w:rsid w:val="00B56C8B"/>
    <w:rsid w:val="00B62698"/>
    <w:rsid w:val="00B72333"/>
    <w:rsid w:val="00B843F1"/>
    <w:rsid w:val="00B8508A"/>
    <w:rsid w:val="00B85DEE"/>
    <w:rsid w:val="00BA208B"/>
    <w:rsid w:val="00BB6441"/>
    <w:rsid w:val="00BC472B"/>
    <w:rsid w:val="00BC6336"/>
    <w:rsid w:val="00BD486A"/>
    <w:rsid w:val="00BE0E8E"/>
    <w:rsid w:val="00BF5482"/>
    <w:rsid w:val="00C02519"/>
    <w:rsid w:val="00C0318D"/>
    <w:rsid w:val="00C903FC"/>
    <w:rsid w:val="00CA72F8"/>
    <w:rsid w:val="00CA7E02"/>
    <w:rsid w:val="00CB7CD6"/>
    <w:rsid w:val="00CF0B64"/>
    <w:rsid w:val="00D20B2B"/>
    <w:rsid w:val="00D25684"/>
    <w:rsid w:val="00D3207E"/>
    <w:rsid w:val="00D6281B"/>
    <w:rsid w:val="00D76EFE"/>
    <w:rsid w:val="00D7775D"/>
    <w:rsid w:val="00DA76E8"/>
    <w:rsid w:val="00DE2888"/>
    <w:rsid w:val="00DE48AA"/>
    <w:rsid w:val="00DF1930"/>
    <w:rsid w:val="00DF7FFE"/>
    <w:rsid w:val="00E15634"/>
    <w:rsid w:val="00E20037"/>
    <w:rsid w:val="00E55A6A"/>
    <w:rsid w:val="00E6251D"/>
    <w:rsid w:val="00E709AE"/>
    <w:rsid w:val="00E86D1E"/>
    <w:rsid w:val="00EA3F6E"/>
    <w:rsid w:val="00EB2044"/>
    <w:rsid w:val="00ED608F"/>
    <w:rsid w:val="00ED63C9"/>
    <w:rsid w:val="00EE1450"/>
    <w:rsid w:val="00EE7A50"/>
    <w:rsid w:val="00EF2EF9"/>
    <w:rsid w:val="00F30E47"/>
    <w:rsid w:val="00F320FD"/>
    <w:rsid w:val="00F34025"/>
    <w:rsid w:val="00F52C2C"/>
    <w:rsid w:val="00F5581E"/>
    <w:rsid w:val="00F644F7"/>
    <w:rsid w:val="00F66687"/>
    <w:rsid w:val="00F672BB"/>
    <w:rsid w:val="00F7292B"/>
    <w:rsid w:val="00F7612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microsoft.com/office/2007/relationships/hdphoto" Target="media/hdphoto1.wdp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103F-479E-4A97-B525-156D882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16dollari</vt:lpstr>
    </vt:vector>
  </TitlesOfParts>
  <Manager>H20</Manager>
  <Company>H20</Company>
  <LinksUpToDate>false</LinksUpToDate>
  <CharactersWithSpaces>4594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16_dollari</dc:title>
  <dc:subject>H20</dc:subject>
  <dc:creator/>
  <cp:keywords>H20</cp:keywords>
  <dc:description>H20</dc:description>
  <cp:lastModifiedBy>Jóhanna Geirsdóttir</cp:lastModifiedBy>
  <cp:revision>36</cp:revision>
  <cp:lastPrinted>2019-07-14T09:35:00Z</cp:lastPrinted>
  <dcterms:created xsi:type="dcterms:W3CDTF">2019-08-06T08:56:00Z</dcterms:created>
  <dcterms:modified xsi:type="dcterms:W3CDTF">2020-05-17T17:13:00Z</dcterms:modified>
  <cp:category>H20</cp:category>
</cp:coreProperties>
</file>