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F49C" w14:textId="77777777" w:rsidR="00C42811" w:rsidRPr="00D753CF" w:rsidRDefault="00C42811" w:rsidP="00C42811">
      <w:pPr>
        <w:rPr>
          <w:rFonts w:asciiTheme="majorHAnsi" w:hAnsiTheme="majorHAnsi"/>
          <w:b/>
          <w:sz w:val="28"/>
          <w:lang w:val="en-GB"/>
        </w:rPr>
      </w:pPr>
      <w:r w:rsidRPr="00646291">
        <w:rPr>
          <w:rFonts w:asciiTheme="majorHAnsi" w:hAnsiTheme="majorHAnsi"/>
          <w:bCs/>
          <w:sz w:val="28"/>
          <w:lang w:val="en-GB"/>
        </w:rPr>
        <w:t>Efnisyfirlit</w:t>
      </w:r>
    </w:p>
    <w:p w14:paraId="51CB94ED" w14:textId="28ABC490" w:rsidR="00C42811" w:rsidRPr="00D753CF" w:rsidRDefault="00C42811" w:rsidP="00C42811">
      <w:pPr>
        <w:jc w:val="right"/>
        <w:rPr>
          <w:lang w:val="en-GB"/>
        </w:rPr>
      </w:pPr>
      <w:r w:rsidRPr="00D753CF">
        <w:rPr>
          <w:rFonts w:asciiTheme="majorHAnsi" w:hAnsiTheme="majorHAnsi"/>
          <w:b/>
          <w:sz w:val="24"/>
          <w:lang w:val="en-GB"/>
        </w:rPr>
        <w:t>Bls.</w:t>
      </w:r>
    </w:p>
    <w:p w14:paraId="1160B304" w14:textId="45C05B7F" w:rsidR="00C42811" w:rsidRPr="00D753CF" w:rsidRDefault="00C42811" w:rsidP="00F0368D">
      <w:pPr>
        <w:rPr>
          <w:lang w:val="en-GB"/>
        </w:rPr>
      </w:pPr>
    </w:p>
    <w:p w14:paraId="5E26EFB2" w14:textId="77777777" w:rsidR="00C42811" w:rsidRPr="00646291" w:rsidRDefault="00C42811" w:rsidP="00C42811">
      <w:pPr>
        <w:spacing w:before="120" w:after="60"/>
        <w:rPr>
          <w:rFonts w:asciiTheme="majorHAnsi" w:hAnsiTheme="majorHAnsi"/>
          <w:bCs/>
          <w:sz w:val="28"/>
          <w:lang w:val="en-GB"/>
        </w:rPr>
      </w:pPr>
      <w:r w:rsidRPr="00646291">
        <w:rPr>
          <w:rFonts w:asciiTheme="majorHAnsi" w:hAnsiTheme="majorHAnsi"/>
          <w:bCs/>
          <w:sz w:val="28"/>
          <w:lang w:val="en-GB"/>
        </w:rPr>
        <w:t>Yfirlit yfir töflur</w:t>
      </w:r>
    </w:p>
    <w:p w14:paraId="56584E03" w14:textId="14B5A9AD" w:rsidR="00C42811" w:rsidRPr="00D753CF" w:rsidRDefault="00C42811" w:rsidP="00F0368D">
      <w:pPr>
        <w:rPr>
          <w:lang w:val="en-GB"/>
        </w:rPr>
      </w:pPr>
    </w:p>
    <w:p w14:paraId="2C0E69E7" w14:textId="62054060" w:rsidR="00C42811" w:rsidRPr="00646291" w:rsidRDefault="00C42811" w:rsidP="00C42811">
      <w:pPr>
        <w:spacing w:before="120" w:after="60"/>
        <w:rPr>
          <w:rFonts w:asciiTheme="majorHAnsi" w:hAnsiTheme="majorHAnsi"/>
          <w:bCs/>
          <w:sz w:val="28"/>
          <w:lang w:val="en-GB"/>
        </w:rPr>
      </w:pPr>
      <w:r w:rsidRPr="00646291">
        <w:rPr>
          <w:rFonts w:asciiTheme="majorHAnsi" w:hAnsiTheme="majorHAnsi"/>
          <w:bCs/>
          <w:sz w:val="28"/>
          <w:lang w:val="en-GB"/>
        </w:rPr>
        <w:t>Yfirlit yfir myndir</w:t>
      </w:r>
    </w:p>
    <w:p w14:paraId="183B0A7F" w14:textId="77777777" w:rsidR="00C42811" w:rsidRPr="00D753CF" w:rsidRDefault="00C42811" w:rsidP="00F0368D">
      <w:pPr>
        <w:rPr>
          <w:lang w:val="en-GB"/>
        </w:rPr>
      </w:pPr>
    </w:p>
    <w:p w14:paraId="330A38B3" w14:textId="77777777" w:rsidR="00C42811" w:rsidRPr="00D753CF" w:rsidRDefault="00C42811" w:rsidP="00F0368D">
      <w:pPr>
        <w:rPr>
          <w:lang w:val="en-GB"/>
        </w:rPr>
      </w:pPr>
    </w:p>
    <w:p w14:paraId="0B76B55A" w14:textId="0E0A0FBB" w:rsidR="00F0368D" w:rsidRPr="00D753CF" w:rsidRDefault="00F0368D" w:rsidP="00F0368D">
      <w:pPr>
        <w:rPr>
          <w:b/>
          <w:bCs/>
          <w:lang w:val="en-GB"/>
        </w:rPr>
      </w:pPr>
      <w:r w:rsidRPr="00D753CF">
        <w:rPr>
          <w:b/>
          <w:bCs/>
          <w:lang w:val="en-GB"/>
        </w:rPr>
        <w:t>Heilsufar einstaklinga</w:t>
      </w:r>
    </w:p>
    <w:p w14:paraId="6417FBCF" w14:textId="1E5B9A8A" w:rsidR="00F0368D" w:rsidRPr="00D753CF" w:rsidRDefault="00F0368D" w:rsidP="00696346">
      <w:pPr>
        <w:pStyle w:val="Texti-1"/>
        <w:rPr>
          <w:lang w:val="en-GB"/>
        </w:rPr>
      </w:pPr>
      <w:r w:rsidRPr="00D753CF">
        <w:rPr>
          <w:lang w:val="en-GB"/>
        </w:rPr>
        <w:t xml:space="preserve">Heilsufar einstaklinga ræðst meðal annars af </w:t>
      </w:r>
      <w:r w:rsidRPr="00696346">
        <w:t>lífsháttum</w:t>
      </w:r>
      <w:r w:rsidRPr="00D753CF">
        <w:rPr>
          <w:lang w:val="en-GB"/>
        </w:rPr>
        <w:t xml:space="preserve"> og neysluvenjum, og margir langvinnir sjúkdómar eiga rót sína að rekja til lélegs eða rangs mataræðis. Embætti landlæknis og Matvælastofnun létu framkvæma landskönnun á mataræði Íslendinga árin 2010–2011. Hliðstæð rannsókn var síðast gerð árið 2002 en frá þeim tíma hefur margt breyst í lífsháttum og aðstæðum fólks, nýjar matreiðsluaðferðir hafa þróast og nýjar og breyttar fæðutegundir hafa rutt sér til rúms. Það var því orðið tímabært að kanna hvernig fæðuvenjum er háttað og hvaða breytingar hafa átt sér stað frá því síðasta könnun var birt. Undirbúningur fyrir könnunina var í höndum Lýðheilsustöðvar þar sem einnig fékkst húsnæði og aðstaða en Rannsóknastofa í næringarfræði og Lýðheilsustöð sáu sameiginlega um framkvæmd og úrvinnslu könnunarinnar. </w:t>
      </w:r>
    </w:p>
    <w:p w14:paraId="0724244C" w14:textId="6E67C4B5" w:rsidR="00F0368D" w:rsidRPr="00D753CF" w:rsidRDefault="00F0368D" w:rsidP="00F0368D">
      <w:pPr>
        <w:rPr>
          <w:b/>
          <w:bCs/>
          <w:lang w:val="en-GB"/>
        </w:rPr>
      </w:pPr>
      <w:r w:rsidRPr="00D753CF">
        <w:rPr>
          <w:b/>
          <w:bCs/>
          <w:lang w:val="en-GB"/>
        </w:rPr>
        <w:t>Helstu niðurstöður</w:t>
      </w:r>
    </w:p>
    <w:p w14:paraId="109120E6" w14:textId="1DF251F0" w:rsidR="00F0368D" w:rsidRPr="006400EB" w:rsidRDefault="00F0368D" w:rsidP="006400EB">
      <w:pPr>
        <w:pStyle w:val="Niurst"/>
      </w:pPr>
      <w:r w:rsidRPr="006400EB">
        <w:t>Mataræði Íslendinga hefur þokast nær ráðleggingum um heilsusamlegt mataræði frá árinu 2002: Neysla á harðri fitu og viðbættum sykri hefur heldur minnkað, meira er borðað af grænmeti, ávöxtum og grófu brauði og fleiri taka lýsi. Enn er þó langt í land með að þorri þjóðarinnar fylgi ráðleggingum um a.m.k. 400 grömm af ávöxtum og grænmeti eða daglegri neyslu grófra brauða og D-vítamíns/lýsis.</w:t>
      </w:r>
    </w:p>
    <w:p w14:paraId="2AA7CE41" w14:textId="3B445C73" w:rsidR="00F0368D" w:rsidRPr="006400EB" w:rsidRDefault="00F0368D" w:rsidP="006400EB">
      <w:pPr>
        <w:pStyle w:val="Niurst"/>
      </w:pPr>
      <w:r w:rsidRPr="006400EB">
        <w:t>Meðalneysla flestra næringarefna er almennt um eða yfir ráðlögðum dagskammti með fáeinum undantekningum: Neysla á D-vítamíni er langt undir ráðleggingum hjá þorra þjóðarinnar og öllum þeim sem ekki taka lýsi eða annan D-vítamíngjafa að staðaldri. Eins er neysla ungra kvenna á fólati og járni undir ráðleggingum.</w:t>
      </w:r>
    </w:p>
    <w:p w14:paraId="02A05E05" w14:textId="0C722E31" w:rsidR="00F0368D" w:rsidRPr="006400EB" w:rsidRDefault="00F0368D" w:rsidP="006400EB">
      <w:pPr>
        <w:pStyle w:val="Niurst"/>
      </w:pPr>
      <w:r w:rsidRPr="006400EB">
        <w:t>Próteinneysla Íslendinga er rífleg, og meiri en meðal nágrannaþjóða. Mest er hún meðal þeirra sem drekka próteindrykki, en neysla þeirra hefur aukist mjög.</w:t>
      </w:r>
    </w:p>
    <w:p w14:paraId="5D43A774" w14:textId="1362D210" w:rsidR="00F0368D" w:rsidRPr="006400EB" w:rsidRDefault="00F0368D" w:rsidP="006400EB">
      <w:pPr>
        <w:pStyle w:val="Niurst"/>
      </w:pPr>
      <w:r w:rsidRPr="006400EB">
        <w:t>Mjólkurneysla hefur hrapað frá árinu 2002 og samsvarar neysla mjólkur og mjólkurvara nú ríflega einum skammti á dag að meðaltali ef ostur er ekki meðtalinn.</w:t>
      </w:r>
    </w:p>
    <w:p w14:paraId="077BEB7B" w14:textId="5121757F" w:rsidR="00F0368D" w:rsidRPr="006400EB" w:rsidRDefault="00F0368D" w:rsidP="006400EB">
      <w:pPr>
        <w:pStyle w:val="Niurst"/>
      </w:pPr>
      <w:r w:rsidRPr="006400EB">
        <w:t>Fiskneysla er svipuð að magni og hún var árið 2002. Helmingur fólks neytir fiskmáltíðar að minnsta kosti tvisvar í viku.</w:t>
      </w:r>
    </w:p>
    <w:p w14:paraId="38058C1A" w14:textId="0BA56022" w:rsidR="00F0368D" w:rsidRPr="006400EB" w:rsidRDefault="00F0368D" w:rsidP="006400EB">
      <w:pPr>
        <w:pStyle w:val="Niurst"/>
      </w:pPr>
      <w:r w:rsidRPr="006400EB">
        <w:t>Neysla á grófu brauði og hafragraut hefur tvöfaldast frá síðustu könnun. Neysla á kexi og kökum hefur minnkað frá síðustu könnun en er þó enn um tvöfalt meiri en neysla á grófu brauði.</w:t>
      </w:r>
    </w:p>
    <w:p w14:paraId="47DC80AF" w14:textId="53235001" w:rsidR="00F0368D" w:rsidRPr="006400EB" w:rsidRDefault="00F0368D" w:rsidP="006400EB">
      <w:pPr>
        <w:pStyle w:val="Niurst"/>
      </w:pPr>
      <w:r w:rsidRPr="006400EB">
        <w:t>Neysla á sykruðum gosdrykkjum hefur minnkað umtalsvert en meira er drukkið af sykurlausum gosdrykkjum en áður. Ungt fólk sem drekkur sykrað gos oftar en tvisvar í viku fær mun meira af viðbættum sykri en ráðleggingar segja til um. Hinir, sem drekka gos sjaldnar, neyta viðbætts sykurs í samræmi við ráðleggingar að meðaltali.</w:t>
      </w:r>
    </w:p>
    <w:p w14:paraId="71419F19" w14:textId="1A6DD30D" w:rsidR="00F0368D" w:rsidRPr="006400EB" w:rsidRDefault="00F0368D" w:rsidP="006400EB">
      <w:pPr>
        <w:pStyle w:val="Niurst"/>
      </w:pPr>
      <w:r w:rsidRPr="006400EB">
        <w:t>Minni munur er nú á fæði yngri og eldri aldurshópa en í síðustu könnun, meðal annars hvað varðar neyslu gosdrykkja, sælgætis, ávaxta og grænmetis.</w:t>
      </w:r>
    </w:p>
    <w:p w14:paraId="7D818700" w14:textId="02465572" w:rsidR="00F0368D" w:rsidRPr="006400EB" w:rsidRDefault="00F0368D" w:rsidP="006400EB">
      <w:pPr>
        <w:pStyle w:val="Niurst"/>
      </w:pPr>
      <w:r w:rsidRPr="006400EB">
        <w:t>Markmiðum um takmörkun á neyslu trans-fitusýra hefur verið náð. Trans-fitusýrur hafa nánast horfið úr flestum íslenskum fæðutegundum öðrum en smjöri, mjólkurvörum og kjöti þar sem þær eru frá náttúrunnar hendi. Magn mettaðra fitusýra hefur lítillega minnkað í fæðinu frá fyrri könnun en sem hlutfall af orku er það nánast óbreytt. Það er meira en ráðleggingar segja til um og eins meira en á öðrum Norðurlöndum.</w:t>
      </w:r>
    </w:p>
    <w:p w14:paraId="6D251431" w14:textId="675AB842" w:rsidR="00F0368D" w:rsidRPr="006400EB" w:rsidRDefault="00F0368D" w:rsidP="006400EB">
      <w:pPr>
        <w:pStyle w:val="Niurst"/>
      </w:pPr>
      <w:r w:rsidRPr="006400EB">
        <w:t>Offita og ofþyngd verða æ algengari, tæplega 59% fólks á aldrinum 18</w:t>
      </w:r>
      <w:r w:rsidR="00461634" w:rsidRPr="006400EB">
        <w:t>–</w:t>
      </w:r>
      <w:r w:rsidRPr="006400EB">
        <w:t>80 ára er yfir kjörþyngd og 21% flokkast með offitu en árið 2002 var hlutfall þeirra 13,1%.</w:t>
      </w:r>
    </w:p>
    <w:p w14:paraId="42848C1E" w14:textId="005450E5" w:rsidR="00F0368D" w:rsidRPr="006400EB" w:rsidRDefault="00F0368D" w:rsidP="006400EB">
      <w:pPr>
        <w:pStyle w:val="Niurst"/>
      </w:pPr>
      <w:r w:rsidRPr="006400EB">
        <w:t>Þriðjungur þátttakenda taldi efnahagsbreytingar í kjölfar bankahruns hafa haft áhrif á fæðuval sitt. Algengustu breytingarnar voru minni neysla á skyndibitum, sælgæti og gosdrykkjum.</w:t>
      </w:r>
    </w:p>
    <w:p w14:paraId="72003F86" w14:textId="3DB022E7" w:rsidR="00F0368D" w:rsidRPr="006400EB" w:rsidRDefault="00F0368D" w:rsidP="006400EB">
      <w:pPr>
        <w:pStyle w:val="Niurst"/>
      </w:pPr>
      <w:r w:rsidRPr="006400EB">
        <w:t>Minna er nú borðað af snakki, poppi og farsvörum en árið 2002.</w:t>
      </w:r>
    </w:p>
    <w:p w14:paraId="0E91F5B6" w14:textId="2937DD39" w:rsidR="00F0368D" w:rsidRPr="006400EB" w:rsidRDefault="00F0368D" w:rsidP="006400EB">
      <w:pPr>
        <w:pStyle w:val="Niurst"/>
      </w:pPr>
      <w:r w:rsidRPr="006400EB">
        <w:t>Flestir, eða um 84% þátttakenda, segjast oftast nota olíu við matargerð. Neysla smjörlíkis hefur minnkað mikið en smjörneysla stendur í stað frá síðustu könnun.</w:t>
      </w:r>
    </w:p>
    <w:p w14:paraId="108C0EAD" w14:textId="3B92B5E0" w:rsidR="00F0368D" w:rsidRPr="00D753CF" w:rsidRDefault="00F0368D" w:rsidP="00F0368D">
      <w:pPr>
        <w:rPr>
          <w:b/>
          <w:bCs/>
          <w:lang w:val="en-GB"/>
        </w:rPr>
      </w:pPr>
      <w:r w:rsidRPr="00D753CF">
        <w:rPr>
          <w:b/>
          <w:bCs/>
          <w:lang w:val="en-GB"/>
        </w:rPr>
        <w:t>Efnainnihald matvæla</w:t>
      </w:r>
    </w:p>
    <w:p w14:paraId="681BC83B" w14:textId="5934CF53" w:rsidR="00F0368D" w:rsidRPr="00D753CF" w:rsidRDefault="00F0368D" w:rsidP="00F0368D">
      <w:pPr>
        <w:rPr>
          <w:b/>
          <w:bCs/>
          <w:lang w:val="en-GB"/>
        </w:rPr>
      </w:pPr>
      <w:r w:rsidRPr="00D753CF">
        <w:rPr>
          <w:b/>
          <w:bCs/>
          <w:lang w:val="en-GB"/>
        </w:rPr>
        <w:t>Egg</w:t>
      </w:r>
    </w:p>
    <w:p w14:paraId="31589EA7" w14:textId="77777777" w:rsidR="00F0368D" w:rsidRPr="00D753CF" w:rsidRDefault="00F0368D" w:rsidP="001F1E02">
      <w:pPr>
        <w:pStyle w:val="Texti-1"/>
        <w:rPr>
          <w:lang w:val="en-GB"/>
        </w:rPr>
      </w:pPr>
      <w:r w:rsidRPr="00D753CF">
        <w:rPr>
          <w:lang w:val="en-GB"/>
        </w:rPr>
        <w:lastRenderedPageBreak/>
        <w:t xml:space="preserve">Egg sem seld eru neytendum skulu vera með heila og ósprungna skurn. Þau eiga að vera hrein. Eggjum skal pakkað í hreinar umbúðir. Sá sem þvær egg fyrir dreifingu skal hafa starfsleyfi frá Matvælastofnun til þvotta og pökkunar á eggjum. Þvottur getur eyðilagt náttúrlega vörn þeirra gegn sýklum og eykur hættu á að smit komist inn í eggin og því er mikilvægt að rétt sé staðið að þvotti eggja. </w:t>
      </w:r>
    </w:p>
    <w:p w14:paraId="2FCB2A7C" w14:textId="19323D9B" w:rsidR="00F0368D" w:rsidRPr="00D753CF" w:rsidRDefault="00F0368D" w:rsidP="001F1E02">
      <w:pPr>
        <w:pStyle w:val="Texti-2"/>
        <w:rPr>
          <w:lang w:val="en-GB"/>
        </w:rPr>
      </w:pPr>
      <w:r w:rsidRPr="00D753CF">
        <w:rPr>
          <w:lang w:val="en-GB"/>
        </w:rPr>
        <w:t>Hafa skal í huga að egg geymast í lengri tíma ef þau hafa verið geymd á réttan hátt. Óþvegin egg hafa lengra geymsluþol en egg sem hafa verið þvegin</w:t>
      </w:r>
      <w:r w:rsidRPr="00D753CF">
        <w:rPr>
          <w:noProof/>
          <w:lang w:val="en-GB"/>
        </w:rPr>
        <w:t>.</w:t>
      </w:r>
      <w:r w:rsidRPr="00D753CF">
        <w:rPr>
          <w:lang w:val="en-GB"/>
        </w:rPr>
        <w:t xml:space="preserve"> Við þvott skemmist himnan á eggjaskurninni en hún veitir egginu náttúrulega vörn gegn uppgufun og örverumengun. </w:t>
      </w:r>
    </w:p>
    <w:p w14:paraId="377213B7" w14:textId="2E6B13FF" w:rsidR="00475A8F" w:rsidRPr="00D753CF" w:rsidRDefault="00475A8F" w:rsidP="00475A8F">
      <w:pPr>
        <w:rPr>
          <w:lang w:val="en-GB"/>
        </w:rPr>
      </w:pPr>
      <w:r w:rsidRPr="00D753CF">
        <w:rPr>
          <w:noProof/>
          <w:lang w:val="en-GB"/>
        </w:rPr>
        <w:drawing>
          <wp:inline distT="0" distB="0" distL="0" distR="0" wp14:anchorId="5CEAE02C" wp14:editId="39A6DD37">
            <wp:extent cx="476883" cy="4148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gs-570540_960_720.jpg"/>
                    <pic:cNvPicPr/>
                  </pic:nvPicPr>
                  <pic:blipFill rotWithShape="1">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t="6299" b="5491"/>
                    <a:stretch/>
                  </pic:blipFill>
                  <pic:spPr bwMode="auto">
                    <a:xfrm>
                      <a:off x="0" y="0"/>
                      <a:ext cx="489141" cy="425531"/>
                    </a:xfrm>
                    <a:prstGeom prst="rect">
                      <a:avLst/>
                    </a:prstGeom>
                    <a:ln>
                      <a:noFill/>
                    </a:ln>
                    <a:extLst>
                      <a:ext uri="{53640926-AAD7-44D8-BBD7-CCE9431645EC}">
                        <a14:shadowObscured xmlns:a14="http://schemas.microsoft.com/office/drawing/2010/main"/>
                      </a:ext>
                    </a:extLst>
                  </pic:spPr>
                </pic:pic>
              </a:graphicData>
            </a:graphic>
          </wp:inline>
        </w:drawing>
      </w:r>
    </w:p>
    <w:p w14:paraId="2029AB45" w14:textId="4946406A" w:rsidR="00F0368D" w:rsidRPr="00D753CF" w:rsidRDefault="00F0368D" w:rsidP="00F0368D">
      <w:pPr>
        <w:rPr>
          <w:lang w:val="en-GB"/>
        </w:rPr>
      </w:pPr>
      <w:r w:rsidRPr="00D753CF">
        <w:rPr>
          <w:b/>
          <w:bCs/>
          <w:lang w:val="en-GB"/>
        </w:rPr>
        <w:t>Geymsla</w:t>
      </w:r>
    </w:p>
    <w:p w14:paraId="799C2FD5" w14:textId="2A393065" w:rsidR="00F0368D" w:rsidRPr="00D753CF" w:rsidRDefault="00F0368D" w:rsidP="001F1E02">
      <w:pPr>
        <w:pStyle w:val="Texti-1"/>
        <w:rPr>
          <w:lang w:val="en-GB"/>
        </w:rPr>
      </w:pPr>
      <w:r w:rsidRPr="00D753CF">
        <w:rPr>
          <w:lang w:val="en-GB"/>
        </w:rPr>
        <w:t>Geymsla fyrir egg skal vera hrein, þurr og laus við framandi lykt. Egg skulu varin gegn höggum og sólarljósi. Hitastig við geymslu eggja hjá framleiðanda skal vera að hámarki 12°C. Egg skal geyma og flytja við það hitastig (sem helst skal haldast jafnt) sem hentar best til að tryggja heilnæmi eggja</w:t>
      </w:r>
      <w:r w:rsidR="00346E14" w:rsidRPr="00D753CF">
        <w:rPr>
          <w:rStyle w:val="FootnoteReference"/>
          <w:lang w:val="en-GB"/>
        </w:rPr>
        <w:footnoteReference w:id="1"/>
      </w:r>
      <w:r w:rsidRPr="00D753CF">
        <w:rPr>
          <w:lang w:val="en-GB"/>
        </w:rPr>
        <w:t xml:space="preserve">. </w:t>
      </w:r>
    </w:p>
    <w:p w14:paraId="77E4004D" w14:textId="77777777" w:rsidR="00F0368D" w:rsidRPr="00D753CF" w:rsidRDefault="00F0368D" w:rsidP="002D1B5B">
      <w:pPr>
        <w:spacing w:before="60"/>
        <w:rPr>
          <w:lang w:val="en-GB"/>
        </w:rPr>
      </w:pPr>
      <w:r w:rsidRPr="00D753CF">
        <w:rPr>
          <w:lang w:val="en-GB"/>
        </w:rPr>
        <w:t>Kjörhitastig eggja er því sem næst 12°C í flutningi og við geymslu í verslun og æskilegt er að egg séu ekki geymd sem kælivara (0–4°C) fyrr en þau eru komin í ísskáp neytandans. Ástæða þessa er að raki getur myndast á yfirborði eggja við hitasveiflur og aukið hættu á örverumengun eggja.</w:t>
      </w:r>
    </w:p>
    <w:p w14:paraId="00EC88FB" w14:textId="27220112" w:rsidR="00F0368D" w:rsidRPr="00D753CF" w:rsidRDefault="00F0368D" w:rsidP="00F0368D">
      <w:pPr>
        <w:rPr>
          <w:lang w:val="en-GB"/>
        </w:rPr>
      </w:pPr>
      <w:r w:rsidRPr="00D753CF">
        <w:rPr>
          <w:b/>
          <w:bCs/>
          <w:lang w:val="en-GB"/>
        </w:rPr>
        <w:t>Merkingar</w:t>
      </w:r>
    </w:p>
    <w:p w14:paraId="0D4FB42B" w14:textId="5064EFD0" w:rsidR="00F0368D" w:rsidRPr="00D753CF" w:rsidRDefault="00F0368D" w:rsidP="001F1E02">
      <w:pPr>
        <w:pStyle w:val="Texti-1"/>
        <w:rPr>
          <w:lang w:val="en-GB"/>
        </w:rPr>
      </w:pPr>
      <w:r w:rsidRPr="00D753CF">
        <w:rPr>
          <w:lang w:val="en-GB"/>
        </w:rPr>
        <w:t>Ef egg eru seld í neytendaumbúðum skulu etirfarandi upplýsingar</w:t>
      </w:r>
      <w:r w:rsidR="00AA39A9" w:rsidRPr="00D753CF">
        <w:rPr>
          <w:rStyle w:val="FootnoteReference"/>
          <w:lang w:val="en-GB"/>
        </w:rPr>
        <w:footnoteReference w:id="2"/>
      </w:r>
      <w:r w:rsidRPr="00D753CF">
        <w:rPr>
          <w:lang w:val="en-GB"/>
        </w:rPr>
        <w:t xml:space="preserve"> vera á umbúðum:  </w:t>
      </w:r>
    </w:p>
    <w:p w14:paraId="45BF84D4" w14:textId="44838833" w:rsidR="00F0368D" w:rsidRPr="002D1B5B" w:rsidRDefault="00F0368D" w:rsidP="002D1B5B">
      <w:pPr>
        <w:spacing w:before="120"/>
        <w:rPr>
          <w:sz w:val="20"/>
          <w:szCs w:val="20"/>
          <w:lang w:val="en-GB"/>
        </w:rPr>
      </w:pPr>
      <w:r w:rsidRPr="002D1B5B">
        <w:rPr>
          <w:sz w:val="20"/>
          <w:szCs w:val="20"/>
          <w:lang w:val="en-GB"/>
        </w:rPr>
        <w:t>Vöruheiti</w:t>
      </w:r>
    </w:p>
    <w:p w14:paraId="5F5788A0" w14:textId="050CDF67" w:rsidR="00F0368D" w:rsidRPr="002D1B5B" w:rsidRDefault="00F0368D" w:rsidP="00F0368D">
      <w:pPr>
        <w:rPr>
          <w:sz w:val="20"/>
          <w:szCs w:val="20"/>
          <w:lang w:val="en-GB"/>
        </w:rPr>
      </w:pPr>
      <w:r w:rsidRPr="002D1B5B">
        <w:rPr>
          <w:sz w:val="20"/>
          <w:szCs w:val="20"/>
          <w:lang w:val="en-GB"/>
        </w:rPr>
        <w:t>Nettóþyngd</w:t>
      </w:r>
    </w:p>
    <w:p w14:paraId="3C214EEC" w14:textId="59E321D9" w:rsidR="00F0368D" w:rsidRPr="002D1B5B" w:rsidRDefault="00F0368D" w:rsidP="00F0368D">
      <w:pPr>
        <w:rPr>
          <w:sz w:val="20"/>
          <w:szCs w:val="20"/>
          <w:lang w:val="en-GB"/>
        </w:rPr>
      </w:pPr>
      <w:r w:rsidRPr="002D1B5B">
        <w:rPr>
          <w:sz w:val="20"/>
          <w:szCs w:val="20"/>
          <w:lang w:val="en-GB"/>
        </w:rPr>
        <w:t>Geymsluskilyrði</w:t>
      </w:r>
    </w:p>
    <w:p w14:paraId="64DD83AE" w14:textId="18280895" w:rsidR="00F0368D" w:rsidRPr="002D1B5B" w:rsidRDefault="001F1E02" w:rsidP="00F0368D">
      <w:pPr>
        <w:rPr>
          <w:sz w:val="20"/>
          <w:szCs w:val="20"/>
          <w:lang w:val="en-GB"/>
        </w:rPr>
      </w:pPr>
      <w:r w:rsidRPr="002D1B5B">
        <w:rPr>
          <w:sz w:val="20"/>
          <w:szCs w:val="20"/>
          <w:lang w:val="en-GB"/>
        </w:rPr>
        <w:t xml:space="preserve"> </w:t>
      </w:r>
      <w:r w:rsidR="00F0368D" w:rsidRPr="002D1B5B">
        <w:rPr>
          <w:sz w:val="20"/>
          <w:szCs w:val="20"/>
          <w:lang w:val="en-GB"/>
        </w:rPr>
        <w:t>„Síðasti leyfði söludagur“ eða „Síðasti afhendingardagur“ er vakostur og skal hann þá vera 21 dagur frá varpi</w:t>
      </w:r>
    </w:p>
    <w:p w14:paraId="2111A326" w14:textId="52DDF633" w:rsidR="00F0368D" w:rsidRPr="002D1B5B" w:rsidRDefault="00F0368D" w:rsidP="00F0368D">
      <w:pPr>
        <w:rPr>
          <w:sz w:val="20"/>
          <w:szCs w:val="20"/>
          <w:lang w:val="en-GB"/>
        </w:rPr>
      </w:pPr>
      <w:r w:rsidRPr="002D1B5B">
        <w:rPr>
          <w:sz w:val="20"/>
          <w:szCs w:val="20"/>
          <w:lang w:val="en-GB"/>
        </w:rPr>
        <w:t>Varpdagur er valkostur</w:t>
      </w:r>
    </w:p>
    <w:p w14:paraId="3CACA2BA" w14:textId="73D482F3" w:rsidR="00F0368D" w:rsidRPr="002D1B5B" w:rsidRDefault="001F1E02" w:rsidP="00F0368D">
      <w:pPr>
        <w:rPr>
          <w:sz w:val="20"/>
          <w:szCs w:val="20"/>
          <w:lang w:val="en-GB"/>
        </w:rPr>
      </w:pPr>
      <w:r w:rsidRPr="002D1B5B">
        <w:rPr>
          <w:sz w:val="20"/>
          <w:szCs w:val="20"/>
          <w:lang w:val="en-GB"/>
        </w:rPr>
        <w:t xml:space="preserve"> </w:t>
      </w:r>
      <w:r w:rsidR="00F0368D" w:rsidRPr="002D1B5B">
        <w:rPr>
          <w:sz w:val="20"/>
          <w:szCs w:val="20"/>
          <w:lang w:val="en-GB"/>
        </w:rPr>
        <w:t>„Best fyrir“ dagsetning</w:t>
      </w:r>
    </w:p>
    <w:p w14:paraId="45EB7CB5" w14:textId="3AB09379" w:rsidR="00F0368D" w:rsidRPr="002D1B5B" w:rsidRDefault="00F0368D" w:rsidP="00F0368D">
      <w:pPr>
        <w:rPr>
          <w:sz w:val="20"/>
          <w:szCs w:val="20"/>
          <w:lang w:val="en-GB"/>
        </w:rPr>
      </w:pPr>
      <w:r w:rsidRPr="002D1B5B">
        <w:rPr>
          <w:sz w:val="20"/>
          <w:szCs w:val="20"/>
          <w:lang w:val="en-GB"/>
        </w:rPr>
        <w:t>Heiti og heimilisfang ábyrgðaraðila</w:t>
      </w:r>
    </w:p>
    <w:p w14:paraId="761BFC00" w14:textId="231651B7" w:rsidR="00F0368D" w:rsidRPr="002D1B5B" w:rsidRDefault="00F0368D" w:rsidP="00F0368D">
      <w:pPr>
        <w:rPr>
          <w:sz w:val="20"/>
          <w:szCs w:val="20"/>
          <w:lang w:val="en-GB"/>
        </w:rPr>
      </w:pPr>
      <w:r w:rsidRPr="002D1B5B">
        <w:rPr>
          <w:sz w:val="20"/>
          <w:szCs w:val="20"/>
          <w:lang w:val="en-GB"/>
        </w:rPr>
        <w:t>Auðkennismerki sem inniheldur samþykkisnúmer pökkunarstöðvar</w:t>
      </w:r>
    </w:p>
    <w:p w14:paraId="2A9F7A72" w14:textId="77777777" w:rsidR="00F0368D" w:rsidRPr="00D753CF" w:rsidRDefault="00F0368D" w:rsidP="00F0368D">
      <w:pPr>
        <w:rPr>
          <w:lang w:val="en-GB"/>
        </w:rPr>
      </w:pPr>
    </w:p>
    <w:p w14:paraId="4329375D" w14:textId="2A499B45" w:rsidR="00F0368D" w:rsidRPr="00D753CF" w:rsidRDefault="00F0368D" w:rsidP="00F0368D">
      <w:pPr>
        <w:rPr>
          <w:b/>
          <w:bCs/>
          <w:lang w:val="en-GB"/>
        </w:rPr>
      </w:pPr>
      <w:r w:rsidRPr="00D753CF">
        <w:rPr>
          <w:b/>
          <w:bCs/>
          <w:lang w:val="en-GB"/>
        </w:rPr>
        <w:t>Kjöt og kjötvörur</w:t>
      </w:r>
    </w:p>
    <w:tbl>
      <w:tblPr>
        <w:tblStyle w:val="TableGrid"/>
        <w:tblpPr w:leftFromText="141" w:rightFromText="141" w:vertAnchor="text" w:horzAnchor="margin" w:tblpY="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tblGrid>
      <w:tr w:rsidR="00475A8F" w:rsidRPr="00D753CF" w14:paraId="693C91D9" w14:textId="77777777" w:rsidTr="00475A8F">
        <w:tc>
          <w:tcPr>
            <w:tcW w:w="0" w:type="auto"/>
          </w:tcPr>
          <w:p w14:paraId="4E4FDF76" w14:textId="77777777" w:rsidR="00475A8F" w:rsidRPr="00D753CF" w:rsidRDefault="00475A8F" w:rsidP="00475A8F">
            <w:pPr>
              <w:rPr>
                <w:b/>
                <w:bCs/>
                <w:lang w:val="en-GB"/>
              </w:rPr>
            </w:pPr>
            <w:bookmarkStart w:id="0" w:name="_Hlk45612490"/>
            <w:r w:rsidRPr="00D753CF">
              <w:rPr>
                <w:noProof/>
                <w:lang w:val="en-GB"/>
              </w:rPr>
              <w:drawing>
                <wp:inline distT="0" distB="0" distL="0" distR="0" wp14:anchorId="53B425D2" wp14:editId="411BCA06">
                  <wp:extent cx="720000" cy="552413"/>
                  <wp:effectExtent l="0" t="0" r="444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at-2031562_960_720.png"/>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l="4311" t="4301" r="3188" b="4620"/>
                          <a:stretch/>
                        </pic:blipFill>
                        <pic:spPr bwMode="auto">
                          <a:xfrm>
                            <a:off x="0" y="0"/>
                            <a:ext cx="720000" cy="552413"/>
                          </a:xfrm>
                          <a:prstGeom prst="rect">
                            <a:avLst/>
                          </a:prstGeom>
                          <a:ln>
                            <a:noFill/>
                          </a:ln>
                          <a:extLst>
                            <a:ext uri="{53640926-AAD7-44D8-BBD7-CCE9431645EC}">
                              <a14:shadowObscured xmlns:a14="http://schemas.microsoft.com/office/drawing/2010/main"/>
                            </a:ext>
                          </a:extLst>
                        </pic:spPr>
                      </pic:pic>
                    </a:graphicData>
                  </a:graphic>
                </wp:inline>
              </w:drawing>
            </w:r>
          </w:p>
        </w:tc>
      </w:tr>
    </w:tbl>
    <w:bookmarkEnd w:id="0"/>
    <w:p w14:paraId="77DB0528" w14:textId="4B94C3AE" w:rsidR="00A47D5E" w:rsidRPr="00D753CF" w:rsidRDefault="00F0368D" w:rsidP="00475A8F">
      <w:pPr>
        <w:pStyle w:val="Texti-1"/>
        <w:rPr>
          <w:lang w:val="en-GB"/>
        </w:rPr>
      </w:pPr>
      <w:r w:rsidRPr="00D753CF">
        <w:rPr>
          <w:lang w:val="en-GB"/>
        </w:rPr>
        <w:t>Kjöt er beinagrindarvöðvar spendýra og fugla sem hæfir eru til manneldis ásamt meðfylgjandi eða tengdum vefjum, samanber skilgreiningu á kjöti í B-hluta viðauka VII við reglugerð um miðlun upplýsinga um matvæli til neytenda nr. 1294/2014. Þind og kjálkavöðvar eru hluti af beinagrindarvöðvum en hjarta, tunga, vöðvar í höfði (nema kjálkavöðvar), löppum og rófu (dindli, hala) eru undanskildir. Kjötvinnslufyrirtæki þurfa að sannreyna útreikninga á næringargildi kjötvara í hvert skipti sem útreikningar eru gerðir fyrir vörur fyrirtækisins. Ekki er hægt að komast af með minna en mælingu á vatnsinnihaldi í einni vöru fyrir hvern flokk kjötvara en æskilegt er að gera einnig mælingu á fitu. Það er á ábyrgð framleiðenda að útreikningar á næringargildi séu réttir.</w:t>
      </w:r>
    </w:p>
    <w:p w14:paraId="5CEC9A88" w14:textId="78ABF4CB" w:rsidR="00F0368D" w:rsidRPr="00D753CF" w:rsidRDefault="00F0368D" w:rsidP="00F0368D">
      <w:pPr>
        <w:rPr>
          <w:b/>
          <w:bCs/>
          <w:lang w:val="en-GB"/>
        </w:rPr>
      </w:pPr>
      <w:r w:rsidRPr="00D753CF">
        <w:rPr>
          <w:b/>
          <w:bCs/>
          <w:lang w:val="en-GB"/>
        </w:rPr>
        <w:t>Kjötmagn, viðbótarfita og viðbótarbandvefur</w:t>
      </w:r>
    </w:p>
    <w:p w14:paraId="7BF13A32" w14:textId="0AA92BE7" w:rsidR="00F0368D" w:rsidRPr="00D753CF" w:rsidRDefault="00F0368D" w:rsidP="00F0368D">
      <w:pPr>
        <w:rPr>
          <w:b/>
          <w:bCs/>
          <w:lang w:val="en-GB"/>
        </w:rPr>
      </w:pPr>
      <w:r w:rsidRPr="00D753CF">
        <w:rPr>
          <w:b/>
          <w:bCs/>
          <w:lang w:val="en-GB"/>
        </w:rPr>
        <w:t>Hvað hefur breyst?</w:t>
      </w:r>
    </w:p>
    <w:p w14:paraId="7052892C" w14:textId="489B8A15" w:rsidR="00F0368D" w:rsidRPr="00D753CF" w:rsidRDefault="00F0368D" w:rsidP="001F1E02">
      <w:pPr>
        <w:pStyle w:val="Texti-1"/>
        <w:rPr>
          <w:lang w:val="en-GB"/>
        </w:rPr>
      </w:pPr>
      <w:bookmarkStart w:id="1" w:name="_Hlk45612429"/>
      <w:bookmarkStart w:id="2" w:name="_Hlk45612454"/>
      <w:r w:rsidRPr="00D753CF">
        <w:rPr>
          <w:lang w:val="en-GB"/>
        </w:rPr>
        <w:t>Breytt skilgreining Evrópusambandsins á kjöti var tekin upp á Íslandi í reglugerð nr. 352/2003 um breytingu á reglugerð nr. 588/1993 um merkingu, kynningu og auglýsingu matvæla. Í kjölfarið kom svo endurskoðun á reglugerð um kjöt og kjötvörur. Í drögum að reglugerð um kjöt og kjötvörur frá 1. mars 2003 er nánar kveðið á um kjötinnihald samkvæmt skilgreiningunni. Í viðauka eru ákvæði um lágmarksinnihald kjöts í tilteknum vörum. Helstu atriði sem hafa þarf í huga eru:</w:t>
      </w:r>
    </w:p>
    <w:p w14:paraId="29654450" w14:textId="170600F5" w:rsidR="00F0368D" w:rsidRPr="002D1B5B" w:rsidRDefault="00F0368D" w:rsidP="002D1B5B">
      <w:pPr>
        <w:pStyle w:val="ListParagraph"/>
        <w:numPr>
          <w:ilvl w:val="0"/>
          <w:numId w:val="1"/>
        </w:numPr>
        <w:spacing w:after="40"/>
        <w:ind w:left="357" w:hanging="357"/>
        <w:contextualSpacing w:val="0"/>
        <w:jc w:val="both"/>
        <w:rPr>
          <w:sz w:val="20"/>
          <w:szCs w:val="20"/>
          <w:lang w:val="en-GB"/>
        </w:rPr>
      </w:pPr>
      <w:r w:rsidRPr="002D1B5B">
        <w:rPr>
          <w:sz w:val="20"/>
          <w:szCs w:val="20"/>
          <w:lang w:val="en-GB"/>
        </w:rPr>
        <w:t>Kjöt er skilgreint þrengra en áður og er þá miðað við beinagrindarvöðva. Hjartavöðvi telst því ekki lengur til kjöts.</w:t>
      </w:r>
    </w:p>
    <w:bookmarkEnd w:id="1"/>
    <w:p w14:paraId="2CFA771F" w14:textId="5C5F67C8" w:rsidR="00F0368D" w:rsidRPr="002D1B5B" w:rsidRDefault="00F0368D" w:rsidP="002D1B5B">
      <w:pPr>
        <w:pStyle w:val="ListParagraph"/>
        <w:numPr>
          <w:ilvl w:val="0"/>
          <w:numId w:val="1"/>
        </w:numPr>
        <w:spacing w:after="40"/>
        <w:ind w:left="357" w:hanging="357"/>
        <w:contextualSpacing w:val="0"/>
        <w:jc w:val="both"/>
        <w:rPr>
          <w:sz w:val="20"/>
          <w:szCs w:val="20"/>
          <w:lang w:val="en-GB"/>
        </w:rPr>
      </w:pPr>
      <w:r w:rsidRPr="002D1B5B">
        <w:rPr>
          <w:sz w:val="20"/>
          <w:szCs w:val="20"/>
          <w:lang w:val="en-GB"/>
        </w:rPr>
        <w:t>Sett eru hámarksgildi fyrir fitu og bandvef og eru þau mismunandi eftir kjöttegundum.</w:t>
      </w:r>
    </w:p>
    <w:p w14:paraId="1FB8B3BC" w14:textId="531D4703" w:rsidR="00F0368D" w:rsidRPr="002D1B5B" w:rsidRDefault="00F0368D" w:rsidP="002D1B5B">
      <w:pPr>
        <w:pStyle w:val="ListParagraph"/>
        <w:numPr>
          <w:ilvl w:val="0"/>
          <w:numId w:val="1"/>
        </w:numPr>
        <w:spacing w:after="40"/>
        <w:ind w:left="357" w:hanging="357"/>
        <w:contextualSpacing w:val="0"/>
        <w:jc w:val="both"/>
        <w:rPr>
          <w:sz w:val="20"/>
          <w:szCs w:val="20"/>
          <w:lang w:val="en-GB"/>
        </w:rPr>
      </w:pPr>
      <w:r w:rsidRPr="002D1B5B">
        <w:rPr>
          <w:sz w:val="20"/>
          <w:szCs w:val="20"/>
          <w:lang w:val="en-GB"/>
        </w:rPr>
        <w:lastRenderedPageBreak/>
        <w:t>Hverja kjöttegund þarf að líta á sérstaklega. Þegar kjötmagn (%) er gefið upp þarf að gefa það upp fyrir allar kjöttegundir í vörunni.</w:t>
      </w:r>
    </w:p>
    <w:bookmarkEnd w:id="2"/>
    <w:p w14:paraId="0BD3F41D" w14:textId="253A1263" w:rsidR="00F0368D" w:rsidRPr="002D1B5B" w:rsidRDefault="00F0368D" w:rsidP="002D1B5B">
      <w:pPr>
        <w:pStyle w:val="ListParagraph"/>
        <w:numPr>
          <w:ilvl w:val="0"/>
          <w:numId w:val="1"/>
        </w:numPr>
        <w:spacing w:after="40"/>
        <w:ind w:left="357" w:hanging="357"/>
        <w:contextualSpacing w:val="0"/>
        <w:jc w:val="both"/>
        <w:rPr>
          <w:sz w:val="20"/>
          <w:szCs w:val="20"/>
          <w:lang w:val="en-GB"/>
        </w:rPr>
      </w:pPr>
      <w:r w:rsidRPr="002D1B5B">
        <w:rPr>
          <w:sz w:val="20"/>
          <w:szCs w:val="20"/>
          <w:lang w:val="en-GB"/>
        </w:rPr>
        <w:t>Í kjötvörur er hægt að nota hráefni sem innihalda fitu og/eða bandvef yfir hámarksgildum en þá verður að tilgreina viðbótarfitu og viðbótarbandvef í innihaldslýsingu.</w:t>
      </w:r>
    </w:p>
    <w:p w14:paraId="5D48B494" w14:textId="3FE020B4" w:rsidR="00F0368D" w:rsidRPr="00D753CF" w:rsidRDefault="00F0368D" w:rsidP="00F0368D">
      <w:pPr>
        <w:rPr>
          <w:b/>
          <w:bCs/>
          <w:lang w:val="en-GB"/>
        </w:rPr>
      </w:pPr>
      <w:r w:rsidRPr="00D753CF">
        <w:rPr>
          <w:b/>
          <w:bCs/>
          <w:lang w:val="en-GB"/>
        </w:rPr>
        <w:t>Grunnatriði</w:t>
      </w:r>
    </w:p>
    <w:p w14:paraId="49448CDF" w14:textId="120D2D76" w:rsidR="00F0368D" w:rsidRPr="00D753CF" w:rsidRDefault="00F0368D" w:rsidP="001F1E02">
      <w:pPr>
        <w:pStyle w:val="Texti-1"/>
        <w:rPr>
          <w:lang w:val="en-GB"/>
        </w:rPr>
      </w:pPr>
      <w:r w:rsidRPr="00D753CF">
        <w:rPr>
          <w:lang w:val="en-GB"/>
        </w:rPr>
        <w:t xml:space="preserve">Hér er byggt á aðferð frá Food Standards Agency (FSA-aðferðin) til að reikna kjötmagn, viðbótarfitu og viðbótarbandvef. Þessi aðferð hentar fyrirtækjum vel þar sem útreikningar eru fljótlegir. Byggt er á fyrirfram ákveðnum viðmiðunargildum fyrir kollagen, fitu og prótein í hráefnum. FSA-aðferðin hefur verið borin saman við Clitravi-aðferðina og var samræmi fullnægjandi. Þegar Clitravi-aðferðinni er beitt, er nauðsynlegt að gera mælingar á próteini, fitu og kollageni í hráefnum. </w:t>
      </w:r>
    </w:p>
    <w:p w14:paraId="65DD318F" w14:textId="77777777" w:rsidR="00F0368D" w:rsidRPr="00D753CF" w:rsidRDefault="00F0368D" w:rsidP="002D1B5B">
      <w:pPr>
        <w:spacing w:before="60" w:after="60"/>
        <w:rPr>
          <w:lang w:val="en-GB"/>
        </w:rPr>
      </w:pPr>
      <w:r w:rsidRPr="00D753CF">
        <w:rPr>
          <w:lang w:val="en-GB"/>
        </w:rPr>
        <w:t>Mikilvægt er að undirstrika að FSA-aðferðin gefur því aðeins réttar niðurstöður að prótein, fita og kollagen í hráefnum séu rétt metin. Sérstaklega þarf að huga að fituinnihaldinu.</w:t>
      </w:r>
    </w:p>
    <w:p w14:paraId="71C32006" w14:textId="77777777" w:rsidR="00F0368D" w:rsidRPr="00D753CF" w:rsidRDefault="00F0368D" w:rsidP="001F1E02">
      <w:pPr>
        <w:pStyle w:val="Texti-1"/>
        <w:rPr>
          <w:lang w:val="en-GB"/>
        </w:rPr>
      </w:pPr>
      <w:r w:rsidRPr="00D753CF">
        <w:rPr>
          <w:lang w:val="en-GB"/>
        </w:rPr>
        <w:t>Skilgreiningin á kjöti er miðuð við að fita og kollagen í kjötinu fari ekki yfir hámarksgildin sem koma fram í töflunni hér fyrir neðan. Við merkingu á kjötmagni þarf að taka tillit til þessa. Þá er hlutfall kjöts fært niður um sem svarar fitu og bandvef yfir mörkum og viðbótarfita og viðbótarbandvefur tilgreind í innihaldslýsingu sem sjálfstæðir hráefnisþættir.</w:t>
      </w:r>
    </w:p>
    <w:tbl>
      <w:tblPr>
        <w:tblStyle w:val="GridTable1Light-Accent1"/>
        <w:tblW w:w="0" w:type="auto"/>
        <w:tblLook w:val="04A0" w:firstRow="1" w:lastRow="0" w:firstColumn="1" w:lastColumn="0" w:noHBand="0" w:noVBand="1"/>
      </w:tblPr>
      <w:tblGrid>
        <w:gridCol w:w="4285"/>
        <w:gridCol w:w="849"/>
        <w:gridCol w:w="1484"/>
      </w:tblGrid>
      <w:tr w:rsidR="00380532" w:rsidRPr="00D753CF" w14:paraId="6E100430" w14:textId="77777777" w:rsidTr="00D92E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2DDCE0" w14:textId="77777777" w:rsidR="00380532" w:rsidRPr="00D753CF" w:rsidRDefault="00380532" w:rsidP="00D92E9F">
            <w:pPr>
              <w:spacing w:before="60" w:after="60"/>
              <w:ind w:left="57" w:right="57"/>
              <w:textAlignment w:val="baseline"/>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Kjöttegund</w:t>
            </w:r>
          </w:p>
        </w:tc>
        <w:tc>
          <w:tcPr>
            <w:tcW w:w="0" w:type="auto"/>
            <w:hideMark/>
          </w:tcPr>
          <w:p w14:paraId="597F6B98" w14:textId="77777777" w:rsidR="00380532" w:rsidRPr="00D753CF" w:rsidRDefault="00380532" w:rsidP="00D92E9F">
            <w:pPr>
              <w:spacing w:before="60" w:after="60"/>
              <w:ind w:left="57" w:right="57"/>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 fita</w:t>
            </w:r>
          </w:p>
        </w:tc>
        <w:tc>
          <w:tcPr>
            <w:tcW w:w="0" w:type="auto"/>
            <w:hideMark/>
          </w:tcPr>
          <w:p w14:paraId="084F878E" w14:textId="77777777" w:rsidR="00380532" w:rsidRPr="00D753CF" w:rsidRDefault="00380532" w:rsidP="00D92E9F">
            <w:pPr>
              <w:spacing w:before="60" w:after="60"/>
              <w:ind w:left="57" w:right="57"/>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 bandvefur</w:t>
            </w:r>
          </w:p>
        </w:tc>
      </w:tr>
      <w:tr w:rsidR="00380532" w:rsidRPr="00D753CF" w14:paraId="006DF34D" w14:textId="77777777" w:rsidTr="00D92E9F">
        <w:tc>
          <w:tcPr>
            <w:cnfStyle w:val="001000000000" w:firstRow="0" w:lastRow="0" w:firstColumn="1" w:lastColumn="0" w:oddVBand="0" w:evenVBand="0" w:oddHBand="0" w:evenHBand="0" w:firstRowFirstColumn="0" w:firstRowLastColumn="0" w:lastRowFirstColumn="0" w:lastRowLastColumn="0"/>
            <w:tcW w:w="0" w:type="auto"/>
            <w:hideMark/>
          </w:tcPr>
          <w:p w14:paraId="777D88B7" w14:textId="77777777" w:rsidR="00380532" w:rsidRPr="00D753CF" w:rsidRDefault="00380532" w:rsidP="00D92E9F">
            <w:pPr>
              <w:spacing w:before="60" w:after="60"/>
              <w:ind w:left="57" w:right="57"/>
              <w:textAlignment w:val="baseline"/>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Svínakjöt</w:t>
            </w:r>
          </w:p>
        </w:tc>
        <w:tc>
          <w:tcPr>
            <w:tcW w:w="0" w:type="auto"/>
            <w:hideMark/>
          </w:tcPr>
          <w:p w14:paraId="25F2C83F" w14:textId="77777777" w:rsidR="00380532" w:rsidRPr="00D753CF"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30</w:t>
            </w:r>
          </w:p>
        </w:tc>
        <w:tc>
          <w:tcPr>
            <w:tcW w:w="0" w:type="auto"/>
            <w:hideMark/>
          </w:tcPr>
          <w:p w14:paraId="6DF8E4C9" w14:textId="77777777" w:rsidR="00380532" w:rsidRPr="00D753CF"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25</w:t>
            </w:r>
          </w:p>
        </w:tc>
      </w:tr>
      <w:tr w:rsidR="00380532" w:rsidRPr="00D753CF" w14:paraId="1AEDE2CA" w14:textId="77777777" w:rsidTr="00D92E9F">
        <w:tc>
          <w:tcPr>
            <w:cnfStyle w:val="001000000000" w:firstRow="0" w:lastRow="0" w:firstColumn="1" w:lastColumn="0" w:oddVBand="0" w:evenVBand="0" w:oddHBand="0" w:evenHBand="0" w:firstRowFirstColumn="0" w:firstRowLastColumn="0" w:lastRowFirstColumn="0" w:lastRowLastColumn="0"/>
            <w:tcW w:w="0" w:type="auto"/>
            <w:hideMark/>
          </w:tcPr>
          <w:p w14:paraId="151B8341" w14:textId="77777777" w:rsidR="00380532" w:rsidRPr="00D753CF" w:rsidRDefault="00380532" w:rsidP="00D92E9F">
            <w:pPr>
              <w:spacing w:before="60" w:after="60"/>
              <w:ind w:left="57" w:right="57"/>
              <w:textAlignment w:val="baseline"/>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Fugla- og kanínukjöt</w:t>
            </w:r>
          </w:p>
        </w:tc>
        <w:tc>
          <w:tcPr>
            <w:tcW w:w="0" w:type="auto"/>
            <w:hideMark/>
          </w:tcPr>
          <w:p w14:paraId="5B870385" w14:textId="77777777" w:rsidR="00380532" w:rsidRPr="00D753CF"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15</w:t>
            </w:r>
          </w:p>
        </w:tc>
        <w:tc>
          <w:tcPr>
            <w:tcW w:w="0" w:type="auto"/>
            <w:hideMark/>
          </w:tcPr>
          <w:p w14:paraId="659EDF6A" w14:textId="77777777" w:rsidR="00380532" w:rsidRPr="00D753CF"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10</w:t>
            </w:r>
          </w:p>
        </w:tc>
      </w:tr>
      <w:tr w:rsidR="00380532" w:rsidRPr="00D753CF" w14:paraId="733842E4" w14:textId="77777777" w:rsidTr="00D92E9F">
        <w:tc>
          <w:tcPr>
            <w:cnfStyle w:val="001000000000" w:firstRow="0" w:lastRow="0" w:firstColumn="1" w:lastColumn="0" w:oddVBand="0" w:evenVBand="0" w:oddHBand="0" w:evenHBand="0" w:firstRowFirstColumn="0" w:firstRowLastColumn="0" w:lastRowFirstColumn="0" w:lastRowLastColumn="0"/>
            <w:tcW w:w="0" w:type="auto"/>
            <w:hideMark/>
          </w:tcPr>
          <w:p w14:paraId="33222DD5" w14:textId="77777777" w:rsidR="00380532" w:rsidRPr="00D753CF" w:rsidRDefault="00380532" w:rsidP="00D92E9F">
            <w:pPr>
              <w:spacing w:before="60" w:after="60"/>
              <w:ind w:left="57" w:right="57"/>
              <w:textAlignment w:val="baseline"/>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Lamba-, nauta- og hrossakjöt og annað kjöt</w:t>
            </w:r>
          </w:p>
        </w:tc>
        <w:tc>
          <w:tcPr>
            <w:tcW w:w="0" w:type="auto"/>
            <w:hideMark/>
          </w:tcPr>
          <w:p w14:paraId="41452509" w14:textId="77777777" w:rsidR="00380532" w:rsidRPr="00D753CF"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25</w:t>
            </w:r>
          </w:p>
        </w:tc>
        <w:tc>
          <w:tcPr>
            <w:tcW w:w="0" w:type="auto"/>
            <w:hideMark/>
          </w:tcPr>
          <w:p w14:paraId="14AAB040" w14:textId="77777777" w:rsidR="00380532" w:rsidRPr="00D753CF" w:rsidRDefault="00380532" w:rsidP="00D92E9F">
            <w:pPr>
              <w:spacing w:before="60" w:after="60"/>
              <w:ind w:left="57" w:right="57"/>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22222"/>
                <w:szCs w:val="20"/>
                <w:lang w:val="en-GB" w:eastAsia="is-IS"/>
              </w:rPr>
            </w:pPr>
            <w:r w:rsidRPr="00D753CF">
              <w:rPr>
                <w:rFonts w:eastAsia="Times New Roman" w:cstheme="minorHAnsi"/>
                <w:color w:val="222222"/>
                <w:szCs w:val="20"/>
                <w:bdr w:val="none" w:sz="0" w:space="0" w:color="auto" w:frame="1"/>
                <w:lang w:val="en-GB" w:eastAsia="is-IS"/>
              </w:rPr>
              <w:t>25</w:t>
            </w:r>
          </w:p>
        </w:tc>
      </w:tr>
    </w:tbl>
    <w:p w14:paraId="2BDED29B" w14:textId="77777777" w:rsidR="00F0368D" w:rsidRPr="00D753CF" w:rsidRDefault="00F0368D" w:rsidP="00F0368D">
      <w:pPr>
        <w:rPr>
          <w:lang w:val="en-GB"/>
        </w:rPr>
      </w:pPr>
    </w:p>
    <w:p w14:paraId="004B29A6" w14:textId="55F35B86" w:rsidR="00F0368D" w:rsidRPr="00D753CF" w:rsidRDefault="00F0368D" w:rsidP="00F0368D">
      <w:pPr>
        <w:rPr>
          <w:b/>
          <w:bCs/>
          <w:lang w:val="en-GB"/>
        </w:rPr>
      </w:pPr>
      <w:r w:rsidRPr="00D753CF">
        <w:rPr>
          <w:b/>
          <w:bCs/>
          <w:lang w:val="en-GB"/>
        </w:rPr>
        <w:t>Áhrif koffíns</w:t>
      </w:r>
    </w:p>
    <w:p w14:paraId="5E896E24" w14:textId="393D0BAE" w:rsidR="00F0368D" w:rsidRPr="00D753CF" w:rsidRDefault="00F0368D" w:rsidP="00433FB8">
      <w:pPr>
        <w:pStyle w:val="Texti-1"/>
        <w:spacing w:after="120"/>
        <w:rPr>
          <w:lang w:val="en-GB"/>
        </w:rPr>
      </w:pPr>
      <w:r w:rsidRPr="00D753CF">
        <w:rPr>
          <w:lang w:val="en-GB"/>
        </w:rPr>
        <w:t>Frá náttúrunnar hendi er koffín í kaffi, kakói, tei (svörtu og grænu) og gúarana og matvælum unnum úr þeim. Koffein gefur einkennandi beiskt bragð og er notað sem bragðefni</w:t>
      </w:r>
      <w:r w:rsidR="00285038" w:rsidRPr="00D753CF">
        <w:rPr>
          <w:rStyle w:val="FootnoteReference"/>
          <w:lang w:val="en-GB"/>
        </w:rPr>
        <w:footnoteReference w:id="3"/>
      </w:r>
      <w:r w:rsidRPr="00D753CF">
        <w:rPr>
          <w:lang w:val="en-GB"/>
        </w:rPr>
        <w:t xml:space="preserve"> m.a. í kóladrykki. Því er einnig bætt í sum matvæli, t.d. orkudrykki.</w:t>
      </w:r>
    </w:p>
    <w:tbl>
      <w:tblPr>
        <w:tblStyle w:val="GridTable2-Accent1"/>
        <w:tblW w:w="10874" w:type="dxa"/>
        <w:tblLayout w:type="fixed"/>
        <w:tblLook w:val="04A0" w:firstRow="1" w:lastRow="0" w:firstColumn="1" w:lastColumn="0" w:noHBand="0" w:noVBand="1"/>
      </w:tblPr>
      <w:tblGrid>
        <w:gridCol w:w="2055"/>
        <w:gridCol w:w="1840"/>
        <w:gridCol w:w="1862"/>
        <w:gridCol w:w="992"/>
        <w:gridCol w:w="1857"/>
        <w:gridCol w:w="2268"/>
      </w:tblGrid>
      <w:tr w:rsidR="007554D4" w:rsidRPr="00D753CF" w14:paraId="7798192C" w14:textId="77777777" w:rsidTr="00F65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left w:val="nil"/>
            </w:tcBorders>
            <w:vAlign w:val="bottom"/>
          </w:tcPr>
          <w:p w14:paraId="648CF34F" w14:textId="77777777" w:rsidR="007554D4" w:rsidRPr="00D753CF" w:rsidRDefault="007554D4" w:rsidP="00D92E9F">
            <w:pPr>
              <w:spacing w:before="60" w:after="60"/>
              <w:ind w:left="170" w:right="170"/>
              <w:rPr>
                <w:bCs w:val="0"/>
                <w:lang w:val="en-GB"/>
              </w:rPr>
            </w:pPr>
            <w:r w:rsidRPr="00D753CF">
              <w:rPr>
                <w:bCs w:val="0"/>
                <w:lang w:val="en-GB"/>
              </w:rPr>
              <w:t>Matvæli</w:t>
            </w:r>
          </w:p>
        </w:tc>
        <w:tc>
          <w:tcPr>
            <w:tcW w:w="1840" w:type="dxa"/>
            <w:vAlign w:val="bottom"/>
          </w:tcPr>
          <w:p w14:paraId="0E5F1596" w14:textId="77777777" w:rsidR="007554D4" w:rsidRPr="00D753CF" w:rsidRDefault="007554D4" w:rsidP="00D92E9F">
            <w:pPr>
              <w:spacing w:before="60" w:after="60"/>
              <w:ind w:left="170" w:right="170"/>
              <w:jc w:val="right"/>
              <w:cnfStyle w:val="100000000000" w:firstRow="1" w:lastRow="0" w:firstColumn="0" w:lastColumn="0" w:oddVBand="0" w:evenVBand="0" w:oddHBand="0" w:evenHBand="0" w:firstRowFirstColumn="0" w:firstRowLastColumn="0" w:lastRowFirstColumn="0" w:lastRowLastColumn="0"/>
              <w:rPr>
                <w:bCs w:val="0"/>
                <w:lang w:val="en-GB"/>
              </w:rPr>
            </w:pPr>
            <w:r w:rsidRPr="00D753CF">
              <w:rPr>
                <w:bCs w:val="0"/>
                <w:lang w:val="en-GB"/>
              </w:rPr>
              <w:t>Magn vöru</w:t>
            </w:r>
          </w:p>
        </w:tc>
        <w:tc>
          <w:tcPr>
            <w:tcW w:w="1862" w:type="dxa"/>
            <w:vAlign w:val="bottom"/>
          </w:tcPr>
          <w:p w14:paraId="70CBE6F1" w14:textId="77777777" w:rsidR="007554D4" w:rsidRPr="00D753CF" w:rsidRDefault="007554D4" w:rsidP="00D92E9F">
            <w:pPr>
              <w:spacing w:before="60" w:after="60"/>
              <w:ind w:left="170" w:right="170"/>
              <w:jc w:val="right"/>
              <w:cnfStyle w:val="100000000000" w:firstRow="1" w:lastRow="0" w:firstColumn="0" w:lastColumn="0" w:oddVBand="0" w:evenVBand="0" w:oddHBand="0" w:evenHBand="0" w:firstRowFirstColumn="0" w:firstRowLastColumn="0" w:lastRowFirstColumn="0" w:lastRowLastColumn="0"/>
              <w:rPr>
                <w:bCs w:val="0"/>
                <w:lang w:val="en-GB"/>
              </w:rPr>
            </w:pPr>
            <w:r w:rsidRPr="00D753CF">
              <w:rPr>
                <w:bCs w:val="0"/>
                <w:lang w:val="en-GB"/>
              </w:rPr>
              <w:t>Magn koffíns</w:t>
            </w:r>
          </w:p>
        </w:tc>
        <w:tc>
          <w:tcPr>
            <w:tcW w:w="992" w:type="dxa"/>
            <w:tcBorders>
              <w:bottom w:val="nil"/>
            </w:tcBorders>
            <w:vAlign w:val="center"/>
          </w:tcPr>
          <w:p w14:paraId="5967A861" w14:textId="77777777" w:rsidR="007554D4" w:rsidRPr="00D753CF" w:rsidRDefault="007554D4" w:rsidP="00D92E9F">
            <w:pPr>
              <w:spacing w:before="60" w:after="60"/>
              <w:ind w:left="170" w:right="170"/>
              <w:jc w:val="center"/>
              <w:cnfStyle w:val="100000000000" w:firstRow="1" w:lastRow="0" w:firstColumn="0" w:lastColumn="0" w:oddVBand="0" w:evenVBand="0" w:oddHBand="0" w:evenHBand="0" w:firstRowFirstColumn="0" w:firstRowLastColumn="0" w:lastRowFirstColumn="0" w:lastRowLastColumn="0"/>
              <w:rPr>
                <w:b w:val="0"/>
                <w:lang w:val="en-GB"/>
              </w:rPr>
            </w:pPr>
          </w:p>
        </w:tc>
        <w:tc>
          <w:tcPr>
            <w:tcW w:w="1857" w:type="dxa"/>
            <w:vAlign w:val="bottom"/>
          </w:tcPr>
          <w:p w14:paraId="78B382C0" w14:textId="77777777" w:rsidR="007554D4" w:rsidRPr="00D753CF" w:rsidRDefault="007554D4" w:rsidP="00D92E9F">
            <w:pPr>
              <w:spacing w:before="60" w:after="60"/>
              <w:ind w:left="170" w:right="170"/>
              <w:jc w:val="right"/>
              <w:cnfStyle w:val="100000000000" w:firstRow="1" w:lastRow="0" w:firstColumn="0" w:lastColumn="0" w:oddVBand="0" w:evenVBand="0" w:oddHBand="0" w:evenHBand="0" w:firstRowFirstColumn="0" w:firstRowLastColumn="0" w:lastRowFirstColumn="0" w:lastRowLastColumn="0"/>
              <w:rPr>
                <w:bCs w:val="0"/>
                <w:lang w:val="en-GB"/>
              </w:rPr>
            </w:pPr>
            <w:r w:rsidRPr="00D753CF">
              <w:rPr>
                <w:bCs w:val="0"/>
                <w:lang w:val="en-GB"/>
              </w:rPr>
              <w:t>Líkamsþyngd</w:t>
            </w:r>
          </w:p>
        </w:tc>
        <w:tc>
          <w:tcPr>
            <w:tcW w:w="2268" w:type="dxa"/>
            <w:vAlign w:val="bottom"/>
          </w:tcPr>
          <w:p w14:paraId="19AC0713" w14:textId="77777777" w:rsidR="007554D4" w:rsidRPr="00D753CF" w:rsidRDefault="007554D4" w:rsidP="00D92E9F">
            <w:pPr>
              <w:spacing w:before="60" w:after="60"/>
              <w:ind w:left="170" w:right="170"/>
              <w:jc w:val="right"/>
              <w:cnfStyle w:val="100000000000" w:firstRow="1" w:lastRow="0" w:firstColumn="0" w:lastColumn="0" w:oddVBand="0" w:evenVBand="0" w:oddHBand="0" w:evenHBand="0" w:firstRowFirstColumn="0" w:firstRowLastColumn="0" w:lastRowFirstColumn="0" w:lastRowLastColumn="0"/>
              <w:rPr>
                <w:bCs w:val="0"/>
                <w:lang w:val="en-GB"/>
              </w:rPr>
            </w:pPr>
            <w:r w:rsidRPr="00D753CF">
              <w:rPr>
                <w:bCs w:val="0"/>
                <w:lang w:val="en-GB"/>
              </w:rPr>
              <w:t>Hámarksneysla koffíns á dag</w:t>
            </w:r>
          </w:p>
        </w:tc>
      </w:tr>
      <w:tr w:rsidR="007554D4" w:rsidRPr="00F657A0" w14:paraId="6C65C354" w14:textId="77777777" w:rsidTr="00F65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top w:val="single" w:sz="12" w:space="0" w:color="8EAADB" w:themeColor="accent1" w:themeTint="99"/>
              <w:left w:val="single" w:sz="12" w:space="0" w:color="8EAADB" w:themeColor="accent1" w:themeTint="99"/>
            </w:tcBorders>
            <w:shd w:val="clear" w:color="auto" w:fill="B4C6E7" w:themeFill="accent1" w:themeFillTint="66"/>
          </w:tcPr>
          <w:p w14:paraId="210AB2CF" w14:textId="77777777" w:rsidR="007554D4" w:rsidRPr="00F657A0" w:rsidRDefault="007554D4" w:rsidP="00D92E9F">
            <w:pPr>
              <w:spacing w:before="60" w:after="60"/>
              <w:ind w:left="170" w:right="170"/>
              <w:rPr>
                <w:b w:val="0"/>
                <w:sz w:val="20"/>
                <w:szCs w:val="20"/>
                <w:lang w:val="en-GB"/>
              </w:rPr>
            </w:pPr>
            <w:r w:rsidRPr="00F657A0">
              <w:rPr>
                <w:b w:val="0"/>
                <w:sz w:val="20"/>
                <w:szCs w:val="20"/>
                <w:lang w:val="en-GB"/>
              </w:rPr>
              <w:t>Kaffi</w:t>
            </w:r>
          </w:p>
        </w:tc>
        <w:tc>
          <w:tcPr>
            <w:tcW w:w="1840" w:type="dxa"/>
            <w:shd w:val="clear" w:color="auto" w:fill="B4C6E7" w:themeFill="accent1" w:themeFillTint="66"/>
          </w:tcPr>
          <w:p w14:paraId="327A7290"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Bolli (200 ml)</w:t>
            </w:r>
          </w:p>
        </w:tc>
        <w:tc>
          <w:tcPr>
            <w:tcW w:w="1862" w:type="dxa"/>
            <w:tcBorders>
              <w:top w:val="single" w:sz="12" w:space="0" w:color="8EAADB" w:themeColor="accent1" w:themeTint="99"/>
              <w:right w:val="single" w:sz="12" w:space="0" w:color="8EAADB" w:themeColor="accent1" w:themeTint="99"/>
            </w:tcBorders>
            <w:shd w:val="clear" w:color="auto" w:fill="B4C6E7" w:themeFill="accent1" w:themeFillTint="66"/>
          </w:tcPr>
          <w:p w14:paraId="1E89BD1B"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100 mg</w:t>
            </w:r>
          </w:p>
        </w:tc>
        <w:tc>
          <w:tcPr>
            <w:tcW w:w="992" w:type="dxa"/>
            <w:tcBorders>
              <w:top w:val="nil"/>
              <w:left w:val="single" w:sz="12" w:space="0" w:color="8EAADB" w:themeColor="accent1" w:themeTint="99"/>
              <w:bottom w:val="nil"/>
              <w:right w:val="single" w:sz="12" w:space="0" w:color="8EAADB" w:themeColor="accent1" w:themeTint="99"/>
            </w:tcBorders>
            <w:shd w:val="clear" w:color="auto" w:fill="FFFFFF" w:themeFill="background1"/>
          </w:tcPr>
          <w:p w14:paraId="25287087" w14:textId="77777777" w:rsidR="007554D4" w:rsidRPr="00F657A0" w:rsidRDefault="007554D4" w:rsidP="00D92E9F">
            <w:pPr>
              <w:spacing w:before="60" w:after="60"/>
              <w:ind w:left="170" w:right="170"/>
              <w:jc w:val="center"/>
              <w:cnfStyle w:val="000000100000" w:firstRow="0" w:lastRow="0" w:firstColumn="0" w:lastColumn="0" w:oddVBand="0" w:evenVBand="0" w:oddHBand="1" w:evenHBand="0" w:firstRowFirstColumn="0" w:firstRowLastColumn="0" w:lastRowFirstColumn="0" w:lastRowLastColumn="0"/>
              <w:rPr>
                <w:bCs/>
                <w:sz w:val="20"/>
                <w:szCs w:val="20"/>
                <w:lang w:val="en-GB"/>
              </w:rPr>
            </w:pPr>
          </w:p>
        </w:tc>
        <w:tc>
          <w:tcPr>
            <w:tcW w:w="1857" w:type="dxa"/>
            <w:tcBorders>
              <w:top w:val="single" w:sz="12" w:space="0" w:color="8EAADB" w:themeColor="accent1" w:themeTint="99"/>
              <w:left w:val="single" w:sz="12" w:space="0" w:color="8EAADB" w:themeColor="accent1" w:themeTint="99"/>
            </w:tcBorders>
            <w:shd w:val="clear" w:color="auto" w:fill="B4C6E7" w:themeFill="accent1" w:themeFillTint="66"/>
          </w:tcPr>
          <w:p w14:paraId="1B71BBF8"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20 kg</w:t>
            </w:r>
          </w:p>
        </w:tc>
        <w:tc>
          <w:tcPr>
            <w:tcW w:w="2268" w:type="dxa"/>
            <w:tcBorders>
              <w:top w:val="single" w:sz="12" w:space="0" w:color="8EAADB" w:themeColor="accent1" w:themeTint="99"/>
              <w:right w:val="single" w:sz="12" w:space="0" w:color="8EAADB" w:themeColor="accent1" w:themeTint="99"/>
            </w:tcBorders>
            <w:shd w:val="clear" w:color="auto" w:fill="B4C6E7" w:themeFill="accent1" w:themeFillTint="66"/>
          </w:tcPr>
          <w:p w14:paraId="7544D329"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50 mg</w:t>
            </w:r>
          </w:p>
        </w:tc>
      </w:tr>
      <w:tr w:rsidR="007554D4" w:rsidRPr="00F657A0" w14:paraId="2CC3FE13" w14:textId="77777777" w:rsidTr="00F657A0">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tcBorders>
          </w:tcPr>
          <w:p w14:paraId="17035C0A" w14:textId="77777777" w:rsidR="007554D4" w:rsidRPr="00F657A0" w:rsidRDefault="007554D4" w:rsidP="00D92E9F">
            <w:pPr>
              <w:spacing w:before="60" w:after="60"/>
              <w:ind w:left="170" w:right="170"/>
              <w:rPr>
                <w:b w:val="0"/>
                <w:sz w:val="20"/>
                <w:szCs w:val="20"/>
                <w:lang w:val="en-GB"/>
              </w:rPr>
            </w:pPr>
            <w:r w:rsidRPr="00F657A0">
              <w:rPr>
                <w:b w:val="0"/>
                <w:sz w:val="20"/>
                <w:szCs w:val="20"/>
                <w:lang w:val="en-GB"/>
              </w:rPr>
              <w:t>Svart te</w:t>
            </w:r>
          </w:p>
        </w:tc>
        <w:tc>
          <w:tcPr>
            <w:tcW w:w="1840" w:type="dxa"/>
          </w:tcPr>
          <w:p w14:paraId="76EE9C1C"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r w:rsidRPr="00F657A0">
              <w:rPr>
                <w:bCs/>
                <w:sz w:val="20"/>
                <w:szCs w:val="20"/>
                <w:lang w:val="en-GB"/>
              </w:rPr>
              <w:t>Bolli (200 ml)</w:t>
            </w:r>
          </w:p>
        </w:tc>
        <w:tc>
          <w:tcPr>
            <w:tcW w:w="1862" w:type="dxa"/>
            <w:tcBorders>
              <w:right w:val="single" w:sz="12" w:space="0" w:color="8EAADB" w:themeColor="accent1" w:themeTint="99"/>
            </w:tcBorders>
          </w:tcPr>
          <w:p w14:paraId="3AE7CC04"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r w:rsidRPr="00F657A0">
              <w:rPr>
                <w:bCs/>
                <w:sz w:val="20"/>
                <w:szCs w:val="20"/>
                <w:lang w:val="en-GB"/>
              </w:rPr>
              <w:t>35 mg</w:t>
            </w:r>
          </w:p>
        </w:tc>
        <w:tc>
          <w:tcPr>
            <w:tcW w:w="992" w:type="dxa"/>
            <w:tcBorders>
              <w:top w:val="nil"/>
              <w:left w:val="single" w:sz="12" w:space="0" w:color="8EAADB" w:themeColor="accent1" w:themeTint="99"/>
              <w:bottom w:val="nil"/>
              <w:right w:val="single" w:sz="12" w:space="0" w:color="8EAADB" w:themeColor="accent1" w:themeTint="99"/>
            </w:tcBorders>
            <w:shd w:val="clear" w:color="auto" w:fill="FFFFFF" w:themeFill="background1"/>
          </w:tcPr>
          <w:p w14:paraId="698A9A61" w14:textId="77777777" w:rsidR="007554D4" w:rsidRPr="00F657A0" w:rsidRDefault="007554D4" w:rsidP="00D92E9F">
            <w:pPr>
              <w:spacing w:before="60" w:after="60"/>
              <w:ind w:left="170" w:right="170"/>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57" w:type="dxa"/>
            <w:tcBorders>
              <w:left w:val="single" w:sz="12" w:space="0" w:color="8EAADB" w:themeColor="accent1" w:themeTint="99"/>
            </w:tcBorders>
          </w:tcPr>
          <w:p w14:paraId="05516EC8"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r w:rsidRPr="00F657A0">
              <w:rPr>
                <w:bCs/>
                <w:sz w:val="20"/>
                <w:szCs w:val="20"/>
                <w:lang w:val="en-GB"/>
              </w:rPr>
              <w:t>30 kg</w:t>
            </w:r>
          </w:p>
        </w:tc>
        <w:tc>
          <w:tcPr>
            <w:tcW w:w="2268" w:type="dxa"/>
            <w:tcBorders>
              <w:right w:val="single" w:sz="12" w:space="0" w:color="8EAADB" w:themeColor="accent1" w:themeTint="99"/>
            </w:tcBorders>
          </w:tcPr>
          <w:p w14:paraId="2013A595"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r w:rsidRPr="00F657A0">
              <w:rPr>
                <w:bCs/>
                <w:sz w:val="20"/>
                <w:szCs w:val="20"/>
                <w:lang w:val="en-GB"/>
              </w:rPr>
              <w:t>75 mg</w:t>
            </w:r>
          </w:p>
        </w:tc>
      </w:tr>
      <w:tr w:rsidR="007554D4" w:rsidRPr="00F657A0" w14:paraId="71823906" w14:textId="77777777" w:rsidTr="00F65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tcBorders>
            <w:shd w:val="clear" w:color="auto" w:fill="B4C6E7" w:themeFill="accent1" w:themeFillTint="66"/>
          </w:tcPr>
          <w:p w14:paraId="75F6FA89" w14:textId="77777777" w:rsidR="007554D4" w:rsidRPr="00F657A0" w:rsidRDefault="007554D4" w:rsidP="00D92E9F">
            <w:pPr>
              <w:spacing w:before="60" w:after="60"/>
              <w:ind w:left="170" w:right="170"/>
              <w:rPr>
                <w:b w:val="0"/>
                <w:sz w:val="20"/>
                <w:szCs w:val="20"/>
                <w:lang w:val="en-GB"/>
              </w:rPr>
            </w:pPr>
            <w:r w:rsidRPr="00F657A0">
              <w:rPr>
                <w:b w:val="0"/>
                <w:sz w:val="20"/>
                <w:szCs w:val="20"/>
                <w:lang w:val="en-GB"/>
              </w:rPr>
              <w:t>Kóladrykkur</w:t>
            </w:r>
          </w:p>
        </w:tc>
        <w:tc>
          <w:tcPr>
            <w:tcW w:w="1840" w:type="dxa"/>
            <w:shd w:val="clear" w:color="auto" w:fill="B4C6E7" w:themeFill="accent1" w:themeFillTint="66"/>
          </w:tcPr>
          <w:p w14:paraId="1EF65F98"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½ lítri (500 ml)</w:t>
            </w:r>
          </w:p>
        </w:tc>
        <w:tc>
          <w:tcPr>
            <w:tcW w:w="1862" w:type="dxa"/>
            <w:tcBorders>
              <w:right w:val="single" w:sz="12" w:space="0" w:color="8EAADB" w:themeColor="accent1" w:themeTint="99"/>
            </w:tcBorders>
            <w:shd w:val="clear" w:color="auto" w:fill="B4C6E7" w:themeFill="accent1" w:themeFillTint="66"/>
          </w:tcPr>
          <w:p w14:paraId="6CBE0D94"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65 mg</w:t>
            </w:r>
          </w:p>
        </w:tc>
        <w:tc>
          <w:tcPr>
            <w:tcW w:w="992" w:type="dxa"/>
            <w:tcBorders>
              <w:top w:val="nil"/>
              <w:left w:val="single" w:sz="12" w:space="0" w:color="8EAADB" w:themeColor="accent1" w:themeTint="99"/>
              <w:bottom w:val="nil"/>
              <w:right w:val="single" w:sz="12" w:space="0" w:color="8EAADB" w:themeColor="accent1" w:themeTint="99"/>
            </w:tcBorders>
            <w:shd w:val="clear" w:color="auto" w:fill="FFFFFF" w:themeFill="background1"/>
          </w:tcPr>
          <w:p w14:paraId="521BCBEB" w14:textId="77777777" w:rsidR="007554D4" w:rsidRPr="00F657A0" w:rsidRDefault="007554D4" w:rsidP="00D92E9F">
            <w:pPr>
              <w:spacing w:before="60" w:after="60"/>
              <w:ind w:left="170" w:right="170"/>
              <w:jc w:val="center"/>
              <w:cnfStyle w:val="000000100000" w:firstRow="0" w:lastRow="0" w:firstColumn="0" w:lastColumn="0" w:oddVBand="0" w:evenVBand="0" w:oddHBand="1" w:evenHBand="0" w:firstRowFirstColumn="0" w:firstRowLastColumn="0" w:lastRowFirstColumn="0" w:lastRowLastColumn="0"/>
              <w:rPr>
                <w:bCs/>
                <w:sz w:val="20"/>
                <w:szCs w:val="20"/>
                <w:lang w:val="en-GB"/>
              </w:rPr>
            </w:pPr>
          </w:p>
        </w:tc>
        <w:tc>
          <w:tcPr>
            <w:tcW w:w="1857" w:type="dxa"/>
            <w:tcBorders>
              <w:left w:val="single" w:sz="12" w:space="0" w:color="8EAADB" w:themeColor="accent1" w:themeTint="99"/>
              <w:bottom w:val="single" w:sz="2" w:space="0" w:color="8EAADB" w:themeColor="accent1" w:themeTint="99"/>
            </w:tcBorders>
            <w:shd w:val="clear" w:color="auto" w:fill="B4C6E7" w:themeFill="accent1" w:themeFillTint="66"/>
          </w:tcPr>
          <w:p w14:paraId="0F6AD89B"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40 kg</w:t>
            </w:r>
          </w:p>
        </w:tc>
        <w:tc>
          <w:tcPr>
            <w:tcW w:w="2268" w:type="dxa"/>
            <w:tcBorders>
              <w:bottom w:val="single" w:sz="2" w:space="0" w:color="8EAADB" w:themeColor="accent1" w:themeTint="99"/>
              <w:right w:val="single" w:sz="12" w:space="0" w:color="8EAADB" w:themeColor="accent1" w:themeTint="99"/>
            </w:tcBorders>
            <w:shd w:val="clear" w:color="auto" w:fill="B4C6E7" w:themeFill="accent1" w:themeFillTint="66"/>
          </w:tcPr>
          <w:p w14:paraId="11046ACF"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100 mg</w:t>
            </w:r>
          </w:p>
        </w:tc>
      </w:tr>
      <w:tr w:rsidR="007554D4" w:rsidRPr="00F657A0" w14:paraId="6027EE2E" w14:textId="77777777" w:rsidTr="00F657A0">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tcBorders>
          </w:tcPr>
          <w:p w14:paraId="2BD2935E" w14:textId="77777777" w:rsidR="007554D4" w:rsidRPr="00F657A0" w:rsidRDefault="007554D4" w:rsidP="00D92E9F">
            <w:pPr>
              <w:spacing w:before="60" w:after="60"/>
              <w:ind w:left="170" w:right="170"/>
              <w:rPr>
                <w:b w:val="0"/>
                <w:sz w:val="20"/>
                <w:szCs w:val="20"/>
                <w:lang w:val="en-GB"/>
              </w:rPr>
            </w:pPr>
            <w:r w:rsidRPr="00F657A0">
              <w:rPr>
                <w:b w:val="0"/>
                <w:sz w:val="20"/>
                <w:szCs w:val="20"/>
                <w:lang w:val="en-GB"/>
              </w:rPr>
              <w:t>Orkudrykkur</w:t>
            </w:r>
          </w:p>
        </w:tc>
        <w:tc>
          <w:tcPr>
            <w:tcW w:w="1840" w:type="dxa"/>
          </w:tcPr>
          <w:p w14:paraId="486C3E1C"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r w:rsidRPr="00F657A0">
              <w:rPr>
                <w:bCs/>
                <w:sz w:val="20"/>
                <w:szCs w:val="20"/>
                <w:lang w:val="en-GB"/>
              </w:rPr>
              <w:t>Dós (250 ml)</w:t>
            </w:r>
          </w:p>
        </w:tc>
        <w:tc>
          <w:tcPr>
            <w:tcW w:w="1862" w:type="dxa"/>
            <w:tcBorders>
              <w:right w:val="single" w:sz="12" w:space="0" w:color="8EAADB" w:themeColor="accent1" w:themeTint="99"/>
            </w:tcBorders>
          </w:tcPr>
          <w:p w14:paraId="7B97A484"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r w:rsidRPr="00F657A0">
              <w:rPr>
                <w:bCs/>
                <w:sz w:val="20"/>
                <w:szCs w:val="20"/>
                <w:lang w:val="en-GB"/>
              </w:rPr>
              <w:t>38–180 mg</w:t>
            </w:r>
          </w:p>
        </w:tc>
        <w:tc>
          <w:tcPr>
            <w:tcW w:w="992" w:type="dxa"/>
            <w:tcBorders>
              <w:top w:val="nil"/>
              <w:left w:val="single" w:sz="12" w:space="0" w:color="8EAADB" w:themeColor="accent1" w:themeTint="99"/>
              <w:bottom w:val="nil"/>
              <w:right w:val="single" w:sz="12" w:space="0" w:color="8EAADB" w:themeColor="accent1" w:themeTint="99"/>
            </w:tcBorders>
            <w:shd w:val="clear" w:color="auto" w:fill="FFFFFF" w:themeFill="background1"/>
          </w:tcPr>
          <w:p w14:paraId="038F4ED2" w14:textId="77777777" w:rsidR="007554D4" w:rsidRPr="00F657A0" w:rsidRDefault="007554D4" w:rsidP="00D92E9F">
            <w:pPr>
              <w:spacing w:before="60" w:after="60"/>
              <w:ind w:left="170" w:right="170"/>
              <w:jc w:val="center"/>
              <w:cnfStyle w:val="000000000000" w:firstRow="0" w:lastRow="0" w:firstColumn="0" w:lastColumn="0" w:oddVBand="0" w:evenVBand="0" w:oddHBand="0" w:evenHBand="0" w:firstRowFirstColumn="0" w:firstRowLastColumn="0" w:lastRowFirstColumn="0" w:lastRowLastColumn="0"/>
              <w:rPr>
                <w:bCs/>
                <w:sz w:val="20"/>
                <w:szCs w:val="20"/>
                <w:lang w:val="en-GB"/>
              </w:rPr>
            </w:pPr>
          </w:p>
        </w:tc>
        <w:tc>
          <w:tcPr>
            <w:tcW w:w="1857" w:type="dxa"/>
            <w:tcBorders>
              <w:left w:val="single" w:sz="12" w:space="0" w:color="8EAADB" w:themeColor="accent1" w:themeTint="99"/>
              <w:bottom w:val="single" w:sz="12" w:space="0" w:color="8EAADB" w:themeColor="accent1" w:themeTint="99"/>
            </w:tcBorders>
          </w:tcPr>
          <w:p w14:paraId="2BCF934D"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r w:rsidRPr="00F657A0">
              <w:rPr>
                <w:bCs/>
                <w:sz w:val="20"/>
                <w:szCs w:val="20"/>
                <w:lang w:val="en-GB"/>
              </w:rPr>
              <w:t>50 kg</w:t>
            </w:r>
          </w:p>
        </w:tc>
        <w:tc>
          <w:tcPr>
            <w:tcW w:w="2268" w:type="dxa"/>
            <w:tcBorders>
              <w:bottom w:val="single" w:sz="12" w:space="0" w:color="8EAADB" w:themeColor="accent1" w:themeTint="99"/>
              <w:right w:val="single" w:sz="12" w:space="0" w:color="8EAADB" w:themeColor="accent1" w:themeTint="99"/>
            </w:tcBorders>
          </w:tcPr>
          <w:p w14:paraId="5552AF9D"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r w:rsidRPr="00F657A0">
              <w:rPr>
                <w:bCs/>
                <w:sz w:val="20"/>
                <w:szCs w:val="20"/>
                <w:lang w:val="en-GB"/>
              </w:rPr>
              <w:t>125 mg</w:t>
            </w:r>
          </w:p>
        </w:tc>
      </w:tr>
      <w:tr w:rsidR="007554D4" w:rsidRPr="00F657A0" w14:paraId="11058A17" w14:textId="77777777" w:rsidTr="00F65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tcBorders>
            <w:shd w:val="clear" w:color="auto" w:fill="B4C6E7" w:themeFill="accent1" w:themeFillTint="66"/>
          </w:tcPr>
          <w:p w14:paraId="76E933DF" w14:textId="77777777" w:rsidR="007554D4" w:rsidRPr="00F657A0" w:rsidRDefault="007554D4" w:rsidP="00D92E9F">
            <w:pPr>
              <w:spacing w:before="60" w:after="60"/>
              <w:ind w:left="170" w:right="170"/>
              <w:rPr>
                <w:b w:val="0"/>
                <w:sz w:val="20"/>
                <w:szCs w:val="20"/>
                <w:lang w:val="en-GB"/>
              </w:rPr>
            </w:pPr>
            <w:r w:rsidRPr="00F657A0">
              <w:rPr>
                <w:b w:val="0"/>
                <w:sz w:val="20"/>
                <w:szCs w:val="20"/>
                <w:lang w:val="en-GB"/>
              </w:rPr>
              <w:t>Mjólkursúkkulaði</w:t>
            </w:r>
          </w:p>
        </w:tc>
        <w:tc>
          <w:tcPr>
            <w:tcW w:w="1840" w:type="dxa"/>
            <w:shd w:val="clear" w:color="auto" w:fill="B4C6E7" w:themeFill="accent1" w:themeFillTint="66"/>
          </w:tcPr>
          <w:p w14:paraId="6B77F80E"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100 g</w:t>
            </w:r>
          </w:p>
        </w:tc>
        <w:tc>
          <w:tcPr>
            <w:tcW w:w="1862" w:type="dxa"/>
            <w:tcBorders>
              <w:right w:val="single" w:sz="12" w:space="0" w:color="8EAADB" w:themeColor="accent1" w:themeTint="99"/>
            </w:tcBorders>
            <w:shd w:val="clear" w:color="auto" w:fill="B4C6E7" w:themeFill="accent1" w:themeFillTint="66"/>
          </w:tcPr>
          <w:p w14:paraId="74742FA3"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15 mg</w:t>
            </w:r>
          </w:p>
        </w:tc>
        <w:tc>
          <w:tcPr>
            <w:tcW w:w="992" w:type="dxa"/>
            <w:tcBorders>
              <w:top w:val="nil"/>
              <w:left w:val="single" w:sz="12" w:space="0" w:color="8EAADB" w:themeColor="accent1" w:themeTint="99"/>
              <w:bottom w:val="nil"/>
              <w:right w:val="nil"/>
            </w:tcBorders>
            <w:shd w:val="clear" w:color="auto" w:fill="FFFFFF" w:themeFill="background1"/>
          </w:tcPr>
          <w:p w14:paraId="2854787A" w14:textId="77777777" w:rsidR="007554D4" w:rsidRPr="00F657A0" w:rsidRDefault="007554D4" w:rsidP="00D92E9F">
            <w:pPr>
              <w:spacing w:before="60" w:after="60"/>
              <w:ind w:left="170" w:right="170"/>
              <w:jc w:val="center"/>
              <w:cnfStyle w:val="000000100000" w:firstRow="0" w:lastRow="0" w:firstColumn="0" w:lastColumn="0" w:oddVBand="0" w:evenVBand="0" w:oddHBand="1" w:evenHBand="0" w:firstRowFirstColumn="0" w:firstRowLastColumn="0" w:lastRowFirstColumn="0" w:lastRowLastColumn="0"/>
              <w:rPr>
                <w:bCs/>
                <w:sz w:val="20"/>
                <w:szCs w:val="20"/>
                <w:lang w:val="en-GB"/>
              </w:rPr>
            </w:pPr>
          </w:p>
        </w:tc>
        <w:tc>
          <w:tcPr>
            <w:tcW w:w="1857" w:type="dxa"/>
            <w:tcBorders>
              <w:top w:val="single" w:sz="12" w:space="0" w:color="8EAADB" w:themeColor="accent1" w:themeTint="99"/>
              <w:left w:val="nil"/>
              <w:bottom w:val="nil"/>
              <w:right w:val="nil"/>
            </w:tcBorders>
            <w:shd w:val="clear" w:color="auto" w:fill="FFFFFF" w:themeFill="background1"/>
          </w:tcPr>
          <w:p w14:paraId="4B9EA853"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p>
        </w:tc>
        <w:tc>
          <w:tcPr>
            <w:tcW w:w="2268" w:type="dxa"/>
            <w:tcBorders>
              <w:top w:val="single" w:sz="12" w:space="0" w:color="8EAADB" w:themeColor="accent1" w:themeTint="99"/>
              <w:left w:val="nil"/>
              <w:bottom w:val="nil"/>
              <w:right w:val="nil"/>
            </w:tcBorders>
            <w:shd w:val="clear" w:color="auto" w:fill="FFFFFF" w:themeFill="background1"/>
          </w:tcPr>
          <w:p w14:paraId="20AC6759"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p>
        </w:tc>
      </w:tr>
      <w:tr w:rsidR="007554D4" w:rsidRPr="00F657A0" w14:paraId="4258394A" w14:textId="77777777" w:rsidTr="00F657A0">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bottom w:val="single" w:sz="2" w:space="0" w:color="8EAADB" w:themeColor="accent1" w:themeTint="99"/>
            </w:tcBorders>
          </w:tcPr>
          <w:p w14:paraId="1C8F5625" w14:textId="77777777" w:rsidR="007554D4" w:rsidRPr="00F657A0" w:rsidRDefault="007554D4" w:rsidP="00D92E9F">
            <w:pPr>
              <w:spacing w:before="60" w:after="60"/>
              <w:ind w:left="170" w:right="170"/>
              <w:rPr>
                <w:b w:val="0"/>
                <w:sz w:val="20"/>
                <w:szCs w:val="20"/>
                <w:lang w:val="en-GB"/>
              </w:rPr>
            </w:pPr>
            <w:r w:rsidRPr="00F657A0">
              <w:rPr>
                <w:b w:val="0"/>
                <w:sz w:val="20"/>
                <w:szCs w:val="20"/>
                <w:lang w:val="en-GB"/>
              </w:rPr>
              <w:t>Dökkt súkkulaði</w:t>
            </w:r>
          </w:p>
        </w:tc>
        <w:tc>
          <w:tcPr>
            <w:tcW w:w="1840" w:type="dxa"/>
            <w:tcBorders>
              <w:bottom w:val="single" w:sz="2" w:space="0" w:color="8EAADB" w:themeColor="accent1" w:themeTint="99"/>
            </w:tcBorders>
          </w:tcPr>
          <w:p w14:paraId="41E88F5A"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r w:rsidRPr="00F657A0">
              <w:rPr>
                <w:bCs/>
                <w:sz w:val="20"/>
                <w:szCs w:val="20"/>
                <w:lang w:val="en-GB"/>
              </w:rPr>
              <w:t>100 g</w:t>
            </w:r>
          </w:p>
        </w:tc>
        <w:tc>
          <w:tcPr>
            <w:tcW w:w="1862" w:type="dxa"/>
            <w:tcBorders>
              <w:bottom w:val="single" w:sz="2" w:space="0" w:color="8EAADB" w:themeColor="accent1" w:themeTint="99"/>
              <w:right w:val="single" w:sz="12" w:space="0" w:color="8EAADB" w:themeColor="accent1" w:themeTint="99"/>
            </w:tcBorders>
          </w:tcPr>
          <w:p w14:paraId="11D0353B"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r w:rsidRPr="00F657A0">
              <w:rPr>
                <w:bCs/>
                <w:sz w:val="20"/>
                <w:szCs w:val="20"/>
                <w:lang w:val="en-GB"/>
              </w:rPr>
              <w:t>65 mg</w:t>
            </w:r>
          </w:p>
        </w:tc>
        <w:tc>
          <w:tcPr>
            <w:tcW w:w="992" w:type="dxa"/>
            <w:tcBorders>
              <w:top w:val="nil"/>
              <w:left w:val="single" w:sz="12" w:space="0" w:color="8EAADB" w:themeColor="accent1" w:themeTint="99"/>
              <w:bottom w:val="nil"/>
              <w:right w:val="nil"/>
            </w:tcBorders>
            <w:shd w:val="clear" w:color="auto" w:fill="FFFFFF" w:themeFill="background1"/>
          </w:tcPr>
          <w:p w14:paraId="7B96E17C" w14:textId="77777777" w:rsidR="007554D4" w:rsidRPr="00F657A0" w:rsidRDefault="007554D4" w:rsidP="00D92E9F">
            <w:pPr>
              <w:spacing w:before="60" w:after="60"/>
              <w:ind w:left="170" w:right="170"/>
              <w:jc w:val="center"/>
              <w:cnfStyle w:val="000000000000" w:firstRow="0" w:lastRow="0" w:firstColumn="0" w:lastColumn="0" w:oddVBand="0" w:evenVBand="0" w:oddHBand="0" w:evenHBand="0" w:firstRowFirstColumn="0" w:firstRowLastColumn="0" w:lastRowFirstColumn="0" w:lastRowLastColumn="0"/>
              <w:rPr>
                <w:bCs/>
                <w:sz w:val="20"/>
                <w:szCs w:val="20"/>
                <w:lang w:val="en-GB"/>
              </w:rPr>
            </w:pPr>
          </w:p>
        </w:tc>
        <w:tc>
          <w:tcPr>
            <w:tcW w:w="1857" w:type="dxa"/>
            <w:tcBorders>
              <w:top w:val="nil"/>
              <w:left w:val="nil"/>
              <w:bottom w:val="nil"/>
              <w:right w:val="nil"/>
            </w:tcBorders>
            <w:shd w:val="clear" w:color="auto" w:fill="FFFFFF" w:themeFill="background1"/>
          </w:tcPr>
          <w:p w14:paraId="66555612"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p>
        </w:tc>
        <w:tc>
          <w:tcPr>
            <w:tcW w:w="2268" w:type="dxa"/>
            <w:tcBorders>
              <w:top w:val="nil"/>
              <w:left w:val="nil"/>
              <w:bottom w:val="nil"/>
              <w:right w:val="nil"/>
            </w:tcBorders>
            <w:shd w:val="clear" w:color="auto" w:fill="FFFFFF" w:themeFill="background1"/>
          </w:tcPr>
          <w:p w14:paraId="72D3CC79" w14:textId="77777777" w:rsidR="007554D4" w:rsidRPr="00F657A0" w:rsidRDefault="007554D4" w:rsidP="00D92E9F">
            <w:pPr>
              <w:spacing w:before="60" w:after="60"/>
              <w:ind w:left="170" w:right="170"/>
              <w:jc w:val="right"/>
              <w:cnfStyle w:val="000000000000" w:firstRow="0" w:lastRow="0" w:firstColumn="0" w:lastColumn="0" w:oddVBand="0" w:evenVBand="0" w:oddHBand="0" w:evenHBand="0" w:firstRowFirstColumn="0" w:firstRowLastColumn="0" w:lastRowFirstColumn="0" w:lastRowLastColumn="0"/>
              <w:rPr>
                <w:bCs/>
                <w:sz w:val="20"/>
                <w:szCs w:val="20"/>
                <w:lang w:val="en-GB"/>
              </w:rPr>
            </w:pPr>
          </w:p>
        </w:tc>
      </w:tr>
      <w:tr w:rsidR="007554D4" w:rsidRPr="00F657A0" w14:paraId="130A863B" w14:textId="77777777" w:rsidTr="00F65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left w:val="single" w:sz="12" w:space="0" w:color="8EAADB" w:themeColor="accent1" w:themeTint="99"/>
              <w:bottom w:val="single" w:sz="12" w:space="0" w:color="8EAADB" w:themeColor="accent1" w:themeTint="99"/>
            </w:tcBorders>
            <w:shd w:val="clear" w:color="auto" w:fill="B4C6E7" w:themeFill="accent1" w:themeFillTint="66"/>
          </w:tcPr>
          <w:p w14:paraId="4D9AA51F" w14:textId="77777777" w:rsidR="007554D4" w:rsidRPr="00F657A0" w:rsidRDefault="007554D4" w:rsidP="00D92E9F">
            <w:pPr>
              <w:spacing w:before="60" w:after="60"/>
              <w:ind w:left="170" w:right="170"/>
              <w:rPr>
                <w:b w:val="0"/>
                <w:sz w:val="20"/>
                <w:szCs w:val="20"/>
                <w:lang w:val="en-GB"/>
              </w:rPr>
            </w:pPr>
            <w:r w:rsidRPr="00F657A0">
              <w:rPr>
                <w:b w:val="0"/>
                <w:sz w:val="20"/>
                <w:szCs w:val="20"/>
                <w:lang w:val="en-GB"/>
              </w:rPr>
              <w:t>Kakódrykkur</w:t>
            </w:r>
          </w:p>
        </w:tc>
        <w:tc>
          <w:tcPr>
            <w:tcW w:w="1840" w:type="dxa"/>
            <w:tcBorders>
              <w:bottom w:val="single" w:sz="12" w:space="0" w:color="8EAADB" w:themeColor="accent1" w:themeTint="99"/>
            </w:tcBorders>
            <w:shd w:val="clear" w:color="auto" w:fill="B4C6E7" w:themeFill="accent1" w:themeFillTint="66"/>
          </w:tcPr>
          <w:p w14:paraId="40BD7CEA"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Ferna (250 ml)</w:t>
            </w:r>
          </w:p>
        </w:tc>
        <w:tc>
          <w:tcPr>
            <w:tcW w:w="1862" w:type="dxa"/>
            <w:tcBorders>
              <w:bottom w:val="single" w:sz="12" w:space="0" w:color="8EAADB" w:themeColor="accent1" w:themeTint="99"/>
              <w:right w:val="single" w:sz="12" w:space="0" w:color="8EAADB" w:themeColor="accent1" w:themeTint="99"/>
            </w:tcBorders>
            <w:shd w:val="clear" w:color="auto" w:fill="B4C6E7" w:themeFill="accent1" w:themeFillTint="66"/>
          </w:tcPr>
          <w:p w14:paraId="406DF101"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r w:rsidRPr="00F657A0">
              <w:rPr>
                <w:bCs/>
                <w:sz w:val="20"/>
                <w:szCs w:val="20"/>
                <w:lang w:val="en-GB"/>
              </w:rPr>
              <w:t>4,5 mg</w:t>
            </w:r>
          </w:p>
        </w:tc>
        <w:tc>
          <w:tcPr>
            <w:tcW w:w="992" w:type="dxa"/>
            <w:tcBorders>
              <w:top w:val="nil"/>
              <w:left w:val="single" w:sz="12" w:space="0" w:color="8EAADB" w:themeColor="accent1" w:themeTint="99"/>
              <w:bottom w:val="nil"/>
              <w:right w:val="nil"/>
            </w:tcBorders>
            <w:shd w:val="clear" w:color="auto" w:fill="FFFFFF" w:themeFill="background1"/>
          </w:tcPr>
          <w:p w14:paraId="54C37E97" w14:textId="77777777" w:rsidR="007554D4" w:rsidRPr="00F657A0" w:rsidRDefault="007554D4" w:rsidP="00D92E9F">
            <w:pPr>
              <w:spacing w:before="60" w:after="60"/>
              <w:ind w:left="170" w:right="170"/>
              <w:jc w:val="center"/>
              <w:cnfStyle w:val="000000100000" w:firstRow="0" w:lastRow="0" w:firstColumn="0" w:lastColumn="0" w:oddVBand="0" w:evenVBand="0" w:oddHBand="1" w:evenHBand="0" w:firstRowFirstColumn="0" w:firstRowLastColumn="0" w:lastRowFirstColumn="0" w:lastRowLastColumn="0"/>
              <w:rPr>
                <w:bCs/>
                <w:sz w:val="20"/>
                <w:szCs w:val="20"/>
                <w:lang w:val="en-GB"/>
              </w:rPr>
            </w:pPr>
          </w:p>
        </w:tc>
        <w:tc>
          <w:tcPr>
            <w:tcW w:w="1857" w:type="dxa"/>
            <w:tcBorders>
              <w:top w:val="nil"/>
              <w:left w:val="nil"/>
              <w:bottom w:val="nil"/>
              <w:right w:val="nil"/>
            </w:tcBorders>
            <w:shd w:val="clear" w:color="auto" w:fill="FFFFFF" w:themeFill="background1"/>
          </w:tcPr>
          <w:p w14:paraId="6ADC4EC7"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p>
        </w:tc>
        <w:tc>
          <w:tcPr>
            <w:tcW w:w="2268" w:type="dxa"/>
            <w:tcBorders>
              <w:top w:val="nil"/>
              <w:left w:val="nil"/>
              <w:bottom w:val="nil"/>
              <w:right w:val="nil"/>
            </w:tcBorders>
            <w:shd w:val="clear" w:color="auto" w:fill="FFFFFF" w:themeFill="background1"/>
          </w:tcPr>
          <w:p w14:paraId="20C72606" w14:textId="77777777" w:rsidR="007554D4" w:rsidRPr="00F657A0" w:rsidRDefault="007554D4" w:rsidP="00D92E9F">
            <w:pPr>
              <w:spacing w:before="60" w:after="60"/>
              <w:ind w:left="170" w:right="170"/>
              <w:jc w:val="right"/>
              <w:cnfStyle w:val="000000100000" w:firstRow="0" w:lastRow="0" w:firstColumn="0" w:lastColumn="0" w:oddVBand="0" w:evenVBand="0" w:oddHBand="1" w:evenHBand="0" w:firstRowFirstColumn="0" w:firstRowLastColumn="0" w:lastRowFirstColumn="0" w:lastRowLastColumn="0"/>
              <w:rPr>
                <w:bCs/>
                <w:sz w:val="20"/>
                <w:szCs w:val="20"/>
                <w:lang w:val="en-GB"/>
              </w:rPr>
            </w:pPr>
          </w:p>
        </w:tc>
      </w:tr>
    </w:tbl>
    <w:p w14:paraId="33297AF6" w14:textId="77777777" w:rsidR="00F0368D" w:rsidRPr="00D753CF" w:rsidRDefault="00F0368D" w:rsidP="00F0368D">
      <w:pPr>
        <w:rPr>
          <w:lang w:val="en-GB"/>
        </w:rPr>
      </w:pPr>
    </w:p>
    <w:p w14:paraId="595F00E3" w14:textId="77777777" w:rsidR="00F0368D" w:rsidRPr="00D753CF" w:rsidRDefault="00F0368D" w:rsidP="007554D4">
      <w:pPr>
        <w:pStyle w:val="Texti-1"/>
        <w:rPr>
          <w:lang w:val="en-GB"/>
        </w:rPr>
      </w:pPr>
      <w:r w:rsidRPr="00D753CF">
        <w:rPr>
          <w:lang w:val="en-GB"/>
        </w:rPr>
        <w:t>Koffín hefur margvísleg, en sé þess neytt innan hóflegra marka verkar það fyrst og fremst örvandi á líkamann í gegnum miðtaugakerfið. Örvandi áhrif koffíns á líkamann veldur útvíkkun æða, hjartsláttur verður örari og blóðflæðið eykst til allra líffæra. Þar að auki hefuur koffín áhrif á öndun, örvar meltingu o.fl.</w:t>
      </w:r>
    </w:p>
    <w:p w14:paraId="2CB1F648" w14:textId="77777777" w:rsidR="00F0368D" w:rsidRPr="00D753CF" w:rsidRDefault="00F0368D" w:rsidP="007554D4">
      <w:pPr>
        <w:pStyle w:val="Texti-2"/>
        <w:rPr>
          <w:lang w:val="en-GB"/>
        </w:rPr>
      </w:pPr>
      <w:r w:rsidRPr="00D753CF">
        <w:rPr>
          <w:lang w:val="en-GB"/>
        </w:rPr>
        <w:t>Koffínríkir drykkir, eins og kaffi og orkudrykkir eru vinsælir þar sem koffín getur dregið úr einkennum þreytu og virðist geta aukið einbeitingu. Hafa ber í huga að neysla á koffíni í stórum skömmtun getur haft ýmis óæskileg áhrif á líkamann og andlegt ástand, ekki síst hjá börnum og unglingum.</w:t>
      </w:r>
    </w:p>
    <w:p w14:paraId="4241FEA0" w14:textId="77777777" w:rsidR="00F0368D" w:rsidRPr="00D753CF" w:rsidRDefault="00F0368D" w:rsidP="00F0368D">
      <w:pPr>
        <w:rPr>
          <w:lang w:val="en-GB"/>
        </w:rPr>
      </w:pPr>
    </w:p>
    <w:p w14:paraId="2D01C403" w14:textId="126AB911" w:rsidR="00F0368D" w:rsidRPr="00D753CF" w:rsidRDefault="00F0368D" w:rsidP="00F0368D">
      <w:pPr>
        <w:rPr>
          <w:b/>
          <w:bCs/>
          <w:lang w:val="en-GB"/>
        </w:rPr>
      </w:pPr>
      <w:r w:rsidRPr="00D753CF">
        <w:rPr>
          <w:b/>
          <w:bCs/>
          <w:lang w:val="en-GB"/>
        </w:rPr>
        <w:lastRenderedPageBreak/>
        <w:t>Mjólk og mjólkurvörur</w:t>
      </w:r>
    </w:p>
    <w:p w14:paraId="37C96475" w14:textId="750A84B4" w:rsidR="00F0368D" w:rsidRPr="00D753CF" w:rsidRDefault="00F0368D" w:rsidP="00FC6F12">
      <w:pPr>
        <w:pStyle w:val="Texti-1"/>
        <w:rPr>
          <w:lang w:val="en-GB"/>
        </w:rPr>
      </w:pPr>
      <w:r w:rsidRPr="00D753CF">
        <w:rPr>
          <w:lang w:val="en-GB"/>
        </w:rPr>
        <w:t>Meðalneysla á mjólk og mjólkurvörum er 300 grömm á dag sem er tæplega fjórðungi minna en árið 2002. Neysla á drykkjarmjólk samanlagt, þ.e. nýmjólk, léttmjólk og undanrennu hefur hrapað um þriðjung frá síðustu könnun. Það kemur að mestu til vegna minni neyslu á nýmjólk og undanrennu. Það er ekki mikill munur á mjólkurneyslu eftir aldri nema þá helst á sykruðum mjólkurvörum og léttmjólk. Ungt fólk (18</w:t>
      </w:r>
      <w:r w:rsidR="00461634">
        <w:rPr>
          <w:lang w:val="en-GB"/>
        </w:rPr>
        <w:t>–</w:t>
      </w:r>
      <w:r w:rsidRPr="00D753CF">
        <w:rPr>
          <w:lang w:val="en-GB"/>
        </w:rPr>
        <w:t>30 ára), og þá sérstaklega karlar, borðar mun meira af sykruðum mjólkurvörum og drekkur meira af léttmjólk en þeir sem eru eldri (61</w:t>
      </w:r>
      <w:r w:rsidR="00461634">
        <w:rPr>
          <w:lang w:val="en-GB"/>
        </w:rPr>
        <w:t>–</w:t>
      </w:r>
      <w:r w:rsidRPr="00D753CF">
        <w:rPr>
          <w:lang w:val="en-GB"/>
        </w:rPr>
        <w:t xml:space="preserve">80 ára). </w:t>
      </w:r>
    </w:p>
    <w:p w14:paraId="0E474F4B" w14:textId="0A9CE5D5" w:rsidR="00F0368D" w:rsidRPr="00D753CF" w:rsidRDefault="00F0368D" w:rsidP="00C92301">
      <w:pPr>
        <w:pStyle w:val="Texti-2"/>
        <w:spacing w:after="120"/>
        <w:rPr>
          <w:lang w:val="en-GB"/>
        </w:rPr>
      </w:pPr>
      <w:r w:rsidRPr="00D753CF">
        <w:rPr>
          <w:lang w:val="en-GB"/>
        </w:rPr>
        <w:t>Um fjórðungur þátttakenda borðar mjólkurvörur með sætuefnum og þá helst þeir sem eru í aldurshópnum 31</w:t>
      </w:r>
      <w:r w:rsidR="00461634">
        <w:rPr>
          <w:lang w:val="en-GB"/>
        </w:rPr>
        <w:t>–</w:t>
      </w:r>
      <w:r w:rsidRPr="00D753CF">
        <w:rPr>
          <w:lang w:val="en-GB"/>
        </w:rPr>
        <w:t>60 ára. Fituskert mjólk er algengari en nýmjólk í öllum aldurshópum beggja kynja.</w:t>
      </w:r>
    </w:p>
    <w:p w14:paraId="1A84D82B" w14:textId="78492327" w:rsidR="00C92301" w:rsidRPr="008015E5" w:rsidRDefault="00C92301" w:rsidP="00C92301">
      <w:pPr>
        <w:rPr>
          <w:sz w:val="20"/>
          <w:szCs w:val="20"/>
          <w:lang w:val="en-GB"/>
        </w:rPr>
      </w:pPr>
      <w:r w:rsidRPr="008015E5">
        <w:rPr>
          <w:sz w:val="20"/>
          <w:szCs w:val="20"/>
          <w:lang w:val="en-GB"/>
        </w:rPr>
        <w:t>Mjólk og mjólkurvörur</w:t>
      </w:r>
      <w:r w:rsidRPr="008015E5">
        <w:rPr>
          <w:sz w:val="20"/>
          <w:szCs w:val="20"/>
          <w:lang w:val="en-GB"/>
        </w:rPr>
        <w:fldChar w:fldCharType="begin"/>
      </w:r>
      <w:r w:rsidRPr="008015E5">
        <w:rPr>
          <w:sz w:val="20"/>
          <w:szCs w:val="20"/>
          <w:lang w:val="en-GB"/>
        </w:rPr>
        <w:instrText xml:space="preserve"> "mjólkurvörur" </w:instrText>
      </w:r>
      <w:r w:rsidRPr="008015E5">
        <w:rPr>
          <w:sz w:val="20"/>
          <w:szCs w:val="20"/>
          <w:lang w:val="en-GB"/>
        </w:rPr>
        <w:fldChar w:fldCharType="end"/>
      </w:r>
      <w:r w:rsidRPr="008015E5">
        <w:rPr>
          <w:sz w:val="20"/>
          <w:szCs w:val="20"/>
          <w:lang w:val="en-GB"/>
        </w:rPr>
        <w:t>; meðaltal (staðalfrávik) g/dag</w:t>
      </w:r>
    </w:p>
    <w:p w14:paraId="75659B98" w14:textId="28D68961" w:rsidR="00C92301" w:rsidRPr="008015E5" w:rsidRDefault="00C92301" w:rsidP="00C92301">
      <w:pPr>
        <w:rPr>
          <w:sz w:val="20"/>
          <w:szCs w:val="20"/>
          <w:lang w:val="en-GB"/>
        </w:rPr>
      </w:pPr>
      <w:r w:rsidRPr="008015E5">
        <w:rPr>
          <w:sz w:val="20"/>
          <w:szCs w:val="20"/>
          <w:lang w:val="en-GB"/>
        </w:rPr>
        <w:tab/>
        <w:t>Mjólk og mjólkurvörur</w:t>
      </w:r>
      <w:r w:rsidRPr="008015E5">
        <w:rPr>
          <w:sz w:val="20"/>
          <w:szCs w:val="20"/>
          <w:lang w:val="en-GB"/>
        </w:rPr>
        <w:fldChar w:fldCharType="begin"/>
      </w:r>
      <w:r w:rsidRPr="008015E5">
        <w:rPr>
          <w:sz w:val="20"/>
          <w:szCs w:val="20"/>
          <w:lang w:val="en-GB"/>
        </w:rPr>
        <w:instrText xml:space="preserve"> "mjólkurvörur" </w:instrText>
      </w:r>
      <w:r w:rsidRPr="008015E5">
        <w:rPr>
          <w:sz w:val="20"/>
          <w:szCs w:val="20"/>
          <w:lang w:val="en-GB"/>
        </w:rPr>
        <w:fldChar w:fldCharType="end"/>
      </w:r>
      <w:r w:rsidRPr="008015E5">
        <w:rPr>
          <w:sz w:val="20"/>
          <w:szCs w:val="20"/>
          <w:lang w:val="en-GB"/>
        </w:rPr>
        <w:t xml:space="preserve"> alls</w:t>
      </w:r>
      <w:r w:rsidRPr="008015E5">
        <w:rPr>
          <w:rStyle w:val="FootnoteReference"/>
          <w:sz w:val="20"/>
          <w:szCs w:val="20"/>
          <w:lang w:val="en-GB"/>
        </w:rPr>
        <w:footnoteReference w:id="4"/>
      </w:r>
      <w:r w:rsidRPr="008015E5">
        <w:rPr>
          <w:sz w:val="20"/>
          <w:szCs w:val="20"/>
          <w:lang w:val="en-GB"/>
        </w:rPr>
        <w:t xml:space="preserve"> </w:t>
      </w:r>
      <w:r w:rsidRPr="008015E5">
        <w:rPr>
          <w:sz w:val="20"/>
          <w:szCs w:val="20"/>
          <w:lang w:val="en-GB"/>
        </w:rPr>
        <w:tab/>
        <w:t>Nýmjólk</w:t>
      </w:r>
      <w:r w:rsidRPr="008015E5">
        <w:rPr>
          <w:sz w:val="20"/>
          <w:szCs w:val="20"/>
          <w:lang w:val="en-GB"/>
        </w:rPr>
        <w:tab/>
        <w:t>Léttmjólk</w:t>
      </w:r>
      <w:r w:rsidRPr="008015E5">
        <w:rPr>
          <w:sz w:val="20"/>
          <w:szCs w:val="20"/>
          <w:lang w:val="en-GB"/>
        </w:rPr>
        <w:tab/>
        <w:t>Undanrenna</w:t>
      </w:r>
    </w:p>
    <w:p w14:paraId="560F1C57" w14:textId="77777777" w:rsidR="00C92301" w:rsidRPr="008015E5" w:rsidRDefault="00C92301" w:rsidP="00C92301">
      <w:pPr>
        <w:rPr>
          <w:sz w:val="20"/>
          <w:szCs w:val="20"/>
          <w:lang w:val="en-GB"/>
        </w:rPr>
      </w:pPr>
      <w:r w:rsidRPr="008015E5">
        <w:rPr>
          <w:sz w:val="20"/>
          <w:szCs w:val="20"/>
          <w:lang w:val="en-GB"/>
        </w:rPr>
        <w:t>Karlar</w:t>
      </w:r>
      <w:r w:rsidRPr="008015E5">
        <w:rPr>
          <w:sz w:val="20"/>
          <w:szCs w:val="20"/>
          <w:lang w:val="en-GB"/>
        </w:rPr>
        <w:tab/>
        <w:t>353</w:t>
      </w:r>
      <w:r w:rsidRPr="008015E5">
        <w:rPr>
          <w:sz w:val="20"/>
          <w:szCs w:val="20"/>
          <w:lang w:val="en-GB"/>
        </w:rPr>
        <w:tab/>
        <w:t>79</w:t>
      </w:r>
      <w:r w:rsidRPr="008015E5">
        <w:rPr>
          <w:sz w:val="20"/>
          <w:szCs w:val="20"/>
          <w:lang w:val="en-GB"/>
        </w:rPr>
        <w:tab/>
        <w:t>115</w:t>
      </w:r>
      <w:r w:rsidRPr="008015E5">
        <w:rPr>
          <w:sz w:val="20"/>
          <w:szCs w:val="20"/>
          <w:lang w:val="en-GB"/>
        </w:rPr>
        <w:tab/>
        <w:t>34</w:t>
      </w:r>
    </w:p>
    <w:p w14:paraId="1CBF14D8" w14:textId="77777777" w:rsidR="00C92301" w:rsidRPr="008015E5" w:rsidRDefault="00C92301" w:rsidP="00C92301">
      <w:pPr>
        <w:rPr>
          <w:sz w:val="20"/>
          <w:szCs w:val="20"/>
          <w:lang w:val="en-GB"/>
        </w:rPr>
      </w:pPr>
      <w:r w:rsidRPr="008015E5">
        <w:rPr>
          <w:sz w:val="20"/>
          <w:szCs w:val="20"/>
          <w:lang w:val="en-GB"/>
        </w:rPr>
        <w:t>Konur</w:t>
      </w:r>
      <w:r w:rsidRPr="008015E5">
        <w:rPr>
          <w:sz w:val="20"/>
          <w:szCs w:val="20"/>
          <w:lang w:val="en-GB"/>
        </w:rPr>
        <w:tab/>
        <w:t>251</w:t>
      </w:r>
      <w:r w:rsidRPr="008015E5">
        <w:rPr>
          <w:sz w:val="20"/>
          <w:szCs w:val="20"/>
          <w:lang w:val="en-GB"/>
        </w:rPr>
        <w:tab/>
        <w:t>39</w:t>
      </w:r>
      <w:r w:rsidRPr="008015E5">
        <w:rPr>
          <w:sz w:val="20"/>
          <w:szCs w:val="20"/>
          <w:lang w:val="en-GB"/>
        </w:rPr>
        <w:tab/>
        <w:t>75</w:t>
      </w:r>
      <w:r w:rsidRPr="008015E5">
        <w:rPr>
          <w:sz w:val="20"/>
          <w:szCs w:val="20"/>
          <w:lang w:val="en-GB"/>
        </w:rPr>
        <w:tab/>
        <w:t>31</w:t>
      </w:r>
    </w:p>
    <w:p w14:paraId="21A0B4AB" w14:textId="6BF05368" w:rsidR="00F0368D" w:rsidRDefault="00F0368D" w:rsidP="00F0368D">
      <w:pPr>
        <w:rPr>
          <w:lang w:val="en-GB"/>
        </w:rPr>
      </w:pPr>
    </w:p>
    <w:p w14:paraId="7DBCA9B9" w14:textId="77777777" w:rsidR="00C92301" w:rsidRPr="00D753CF" w:rsidRDefault="00C92301" w:rsidP="00F0368D">
      <w:pPr>
        <w:rPr>
          <w:lang w:val="en-GB"/>
        </w:rPr>
      </w:pPr>
    </w:p>
    <w:p w14:paraId="2D3FCB31" w14:textId="77777777" w:rsidR="00F0368D" w:rsidRPr="00D753CF" w:rsidRDefault="00F0368D" w:rsidP="00F0368D">
      <w:pPr>
        <w:rPr>
          <w:lang w:val="en-GB"/>
        </w:rPr>
      </w:pPr>
      <w:r w:rsidRPr="00D753CF">
        <w:rPr>
          <w:lang w:val="en-GB"/>
        </w:rPr>
        <w:t>Dagsetning</w:t>
      </w:r>
    </w:p>
    <w:p w14:paraId="0362E870" w14:textId="77777777" w:rsidR="00F0368D" w:rsidRPr="00D753CF" w:rsidRDefault="00F0368D" w:rsidP="00F0368D">
      <w:pPr>
        <w:rPr>
          <w:lang w:val="en-GB"/>
        </w:rPr>
      </w:pPr>
    </w:p>
    <w:p w14:paraId="047BD36A" w14:textId="77777777" w:rsidR="00F0368D" w:rsidRPr="00D753CF" w:rsidRDefault="00F0368D" w:rsidP="00F0368D">
      <w:pPr>
        <w:rPr>
          <w:lang w:val="en-GB"/>
        </w:rPr>
      </w:pPr>
    </w:p>
    <w:p w14:paraId="1D6A469D" w14:textId="77777777" w:rsidR="00F0368D" w:rsidRPr="00D753CF" w:rsidRDefault="00F0368D" w:rsidP="00F0368D">
      <w:pPr>
        <w:rPr>
          <w:lang w:val="en-GB"/>
        </w:rPr>
      </w:pPr>
    </w:p>
    <w:p w14:paraId="1123C09B" w14:textId="77777777" w:rsidR="00F0368D" w:rsidRPr="00D753CF" w:rsidRDefault="00F0368D" w:rsidP="00F0368D">
      <w:pPr>
        <w:rPr>
          <w:i/>
          <w:iCs/>
          <w:lang w:val="en-GB"/>
        </w:rPr>
      </w:pPr>
      <w:r w:rsidRPr="00950C9F">
        <w:rPr>
          <w:lang w:val="en-GB"/>
        </w:rPr>
        <w:t>Undirskrift</w:t>
      </w:r>
    </w:p>
    <w:p w14:paraId="23A0A1AF" w14:textId="77777777" w:rsidR="00F0368D" w:rsidRPr="00D753CF" w:rsidRDefault="00F0368D" w:rsidP="00F0368D">
      <w:pPr>
        <w:rPr>
          <w:lang w:val="en-GB"/>
        </w:rPr>
      </w:pPr>
    </w:p>
    <w:p w14:paraId="64678E93" w14:textId="77777777" w:rsidR="00F0368D" w:rsidRPr="00D753CF" w:rsidRDefault="00F0368D" w:rsidP="00F0368D">
      <w:pPr>
        <w:rPr>
          <w:lang w:val="en-GB"/>
        </w:rPr>
      </w:pPr>
    </w:p>
    <w:p w14:paraId="73D59758" w14:textId="77777777" w:rsidR="00F0368D" w:rsidRPr="00D753CF" w:rsidRDefault="00F0368D" w:rsidP="00F0368D">
      <w:pPr>
        <w:rPr>
          <w:lang w:val="en-GB"/>
        </w:rPr>
      </w:pPr>
    </w:p>
    <w:p w14:paraId="641C0FBD" w14:textId="77777777" w:rsidR="00F0368D" w:rsidRPr="00D753CF" w:rsidRDefault="00F0368D" w:rsidP="00F0368D">
      <w:pPr>
        <w:rPr>
          <w:lang w:val="en-GB"/>
        </w:rPr>
      </w:pPr>
    </w:p>
    <w:p w14:paraId="2394C0C5" w14:textId="196E9BB0" w:rsidR="00F0368D" w:rsidRPr="00D753CF" w:rsidRDefault="00F0368D" w:rsidP="00F0368D">
      <w:pPr>
        <w:rPr>
          <w:b/>
          <w:bCs/>
          <w:lang w:val="en-GB"/>
        </w:rPr>
      </w:pPr>
      <w:r w:rsidRPr="00D753CF">
        <w:rPr>
          <w:b/>
          <w:bCs/>
          <w:lang w:val="en-GB"/>
        </w:rPr>
        <w:t>Heimildir</w:t>
      </w:r>
    </w:p>
    <w:p w14:paraId="03579864" w14:textId="77777777" w:rsidR="007554D4" w:rsidRPr="00D753CF" w:rsidRDefault="007554D4" w:rsidP="00A031B4">
      <w:pPr>
        <w:pStyle w:val="Heimildir"/>
        <w:rPr>
          <w:lang w:val="en-GB"/>
        </w:rPr>
      </w:pPr>
      <w:r w:rsidRPr="00D753CF">
        <w:rPr>
          <w:lang w:val="en-GB"/>
        </w:rPr>
        <w:t xml:space="preserve">Laufey Steingrímsdóttir o.fl. (2011). </w:t>
      </w:r>
      <w:r w:rsidRPr="00A93441">
        <w:rPr>
          <w:i/>
          <w:iCs/>
          <w:lang w:val="en-GB"/>
        </w:rPr>
        <w:t>Hvað borða Íslendingar? Könnun á mataræði Íslendinga 2010–2011</w:t>
      </w:r>
      <w:r w:rsidRPr="00D753CF">
        <w:rPr>
          <w:lang w:val="en-GB"/>
        </w:rPr>
        <w:t>. Embætti landlæknis, Matvælastofnun og Rannsóknarstofa í næringarfræði.</w:t>
      </w:r>
    </w:p>
    <w:p w14:paraId="527DE51B" w14:textId="6C74DAC4" w:rsidR="007554D4" w:rsidRPr="00D753CF" w:rsidRDefault="007554D4" w:rsidP="00A031B4">
      <w:pPr>
        <w:pStyle w:val="Heimildir"/>
        <w:rPr>
          <w:lang w:val="en-GB"/>
        </w:rPr>
      </w:pPr>
      <w:r w:rsidRPr="00D753CF">
        <w:rPr>
          <w:lang w:val="en-GB"/>
        </w:rPr>
        <w:t xml:space="preserve">Hildur Gyða Grétarsdóttir. (2018, 10. janúar). Gerir prótin eitthvað annað en byggja upp vöðva? </w:t>
      </w:r>
      <w:r w:rsidRPr="00A93441">
        <w:rPr>
          <w:i/>
          <w:iCs/>
          <w:lang w:val="en-GB"/>
        </w:rPr>
        <w:t>Vísindavefurinn</w:t>
      </w:r>
      <w:r w:rsidRPr="00D753CF">
        <w:rPr>
          <w:lang w:val="en-GB"/>
        </w:rPr>
        <w:t xml:space="preserve">. Sótt </w:t>
      </w:r>
      <w:r w:rsidR="00C84D90" w:rsidRPr="00D753CF">
        <w:rPr>
          <w:lang w:val="en-GB"/>
        </w:rPr>
        <w:t>10</w:t>
      </w:r>
      <w:r w:rsidRPr="00D753CF">
        <w:rPr>
          <w:lang w:val="en-GB"/>
        </w:rPr>
        <w:t xml:space="preserve">. </w:t>
      </w:r>
      <w:r w:rsidR="00C84D90" w:rsidRPr="00D753CF">
        <w:rPr>
          <w:lang w:val="en-GB"/>
        </w:rPr>
        <w:t>júlí</w:t>
      </w:r>
      <w:r w:rsidRPr="00D753CF">
        <w:rPr>
          <w:lang w:val="en-GB"/>
        </w:rPr>
        <w:t xml:space="preserve"> 2020 af https://www.visindavefur.is/svar.php?id=29015</w:t>
      </w:r>
    </w:p>
    <w:p w14:paraId="05FCF7C9" w14:textId="2BE94203" w:rsidR="00C84D90" w:rsidRPr="00D753CF" w:rsidRDefault="00410CA4" w:rsidP="00A031B4">
      <w:pPr>
        <w:pStyle w:val="Heimildir"/>
        <w:rPr>
          <w:lang w:val="en-GB"/>
        </w:rPr>
      </w:pPr>
      <w:r w:rsidRPr="00D753CF">
        <w:rPr>
          <w:lang w:val="en-GB"/>
        </w:rPr>
        <w:t xml:space="preserve">Matur. (2019, 30. janúar). </w:t>
      </w:r>
      <w:r w:rsidRPr="00A93441">
        <w:rPr>
          <w:i/>
          <w:iCs/>
          <w:lang w:val="en-GB"/>
        </w:rPr>
        <w:t>Wikipedia. Frjálsa alfræðiritið.</w:t>
      </w:r>
      <w:r w:rsidRPr="00D753CF">
        <w:rPr>
          <w:lang w:val="en-GB"/>
        </w:rPr>
        <w:t xml:space="preserve"> Sótt 10. júlí 2020 af https://is.wikipedia.org/wiki/Matu</w:t>
      </w:r>
      <w:r w:rsidR="00C84D90" w:rsidRPr="00D753CF">
        <w:rPr>
          <w:lang w:val="en-GB"/>
        </w:rPr>
        <w:t>r</w:t>
      </w:r>
    </w:p>
    <w:p w14:paraId="54BA9D14" w14:textId="77777777" w:rsidR="00C84D90" w:rsidRPr="00D753CF" w:rsidRDefault="00C84D90" w:rsidP="00A031B4">
      <w:pPr>
        <w:pStyle w:val="Heimildir"/>
        <w:rPr>
          <w:lang w:val="en-GB"/>
        </w:rPr>
      </w:pPr>
      <w:r w:rsidRPr="00D753CF">
        <w:rPr>
          <w:lang w:val="en-GB"/>
        </w:rPr>
        <w:t xml:space="preserve">Ásta Eir Árnadóttir. (2019, 31. maí). Hollur matur er góð forvörn. </w:t>
      </w:r>
      <w:r w:rsidRPr="00A93441">
        <w:rPr>
          <w:i/>
          <w:iCs/>
          <w:lang w:val="en-GB"/>
        </w:rPr>
        <w:t>Fréttablaðið</w:t>
      </w:r>
      <w:r w:rsidRPr="00D753CF">
        <w:rPr>
          <w:lang w:val="en-GB"/>
        </w:rPr>
        <w:t>. Sótt 10. júlí 2020 af https://www.frettabladid.is/lifid/hollur-matur-er-go-forvorn/</w:t>
      </w:r>
    </w:p>
    <w:p w14:paraId="6D71A8F6" w14:textId="77777777" w:rsidR="00F0368D" w:rsidRPr="00D753CF" w:rsidRDefault="00F0368D" w:rsidP="00F0368D">
      <w:pPr>
        <w:rPr>
          <w:lang w:val="en-GB"/>
        </w:rPr>
      </w:pPr>
    </w:p>
    <w:p w14:paraId="3C6BE053" w14:textId="059DBF8E" w:rsidR="00F0368D" w:rsidRPr="00D753CF" w:rsidRDefault="00F0368D" w:rsidP="00F0368D">
      <w:pPr>
        <w:rPr>
          <w:b/>
          <w:bCs/>
          <w:lang w:val="en-GB"/>
        </w:rPr>
      </w:pPr>
      <w:r w:rsidRPr="00D753CF">
        <w:rPr>
          <w:b/>
          <w:bCs/>
          <w:lang w:val="en-GB"/>
        </w:rPr>
        <w:t>Atriðaskrá</w:t>
      </w:r>
    </w:p>
    <w:p w14:paraId="1063707A" w14:textId="589CB98E" w:rsidR="00F718D0" w:rsidRPr="00D753CF" w:rsidRDefault="00F718D0">
      <w:pPr>
        <w:rPr>
          <w:lang w:val="en-GB"/>
        </w:rPr>
      </w:pPr>
    </w:p>
    <w:sectPr w:rsidR="00F718D0" w:rsidRPr="00D753CF" w:rsidSect="001F1E0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7663" w14:textId="77777777" w:rsidR="002B3DF4" w:rsidRDefault="002B3DF4" w:rsidP="00475898">
      <w:r>
        <w:separator/>
      </w:r>
    </w:p>
  </w:endnote>
  <w:endnote w:type="continuationSeparator" w:id="0">
    <w:p w14:paraId="322B7FDE" w14:textId="77777777" w:rsidR="002B3DF4" w:rsidRDefault="002B3DF4" w:rsidP="0047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F9EFD" w14:textId="77777777" w:rsidR="002B3DF4" w:rsidRDefault="002B3DF4" w:rsidP="00475898">
      <w:r>
        <w:separator/>
      </w:r>
    </w:p>
  </w:footnote>
  <w:footnote w:type="continuationSeparator" w:id="0">
    <w:p w14:paraId="051E2AC4" w14:textId="77777777" w:rsidR="002B3DF4" w:rsidRDefault="002B3DF4" w:rsidP="00475898">
      <w:r>
        <w:continuationSeparator/>
      </w:r>
    </w:p>
  </w:footnote>
  <w:footnote w:id="1">
    <w:p w14:paraId="6F02506E" w14:textId="00FACDD4" w:rsidR="00346E14" w:rsidRDefault="00346E14">
      <w:pPr>
        <w:pStyle w:val="FootnoteText"/>
      </w:pPr>
      <w:r>
        <w:rPr>
          <w:rStyle w:val="FootnoteReference"/>
        </w:rPr>
        <w:footnoteRef/>
      </w:r>
      <w:r>
        <w:t xml:space="preserve"> </w:t>
      </w:r>
      <w:r>
        <w:tab/>
        <w:t>Reglugerð nr. 104/2010 (EB/853/2004).</w:t>
      </w:r>
    </w:p>
  </w:footnote>
  <w:footnote w:id="2">
    <w:p w14:paraId="4B50CC1D" w14:textId="77777777" w:rsidR="00AA39A9" w:rsidRDefault="00AA39A9" w:rsidP="00AA39A9">
      <w:pPr>
        <w:pStyle w:val="FootnoteText"/>
      </w:pPr>
      <w:r>
        <w:rPr>
          <w:rStyle w:val="FootnoteReference"/>
        </w:rPr>
        <w:footnoteRef/>
      </w:r>
      <w:r>
        <w:t xml:space="preserve"> </w:t>
      </w:r>
      <w:r>
        <w:tab/>
      </w:r>
      <w:r w:rsidRPr="00386BAA">
        <w:t>Sambærilegar</w:t>
      </w:r>
      <w:r>
        <w:t xml:space="preserve"> upplýsingar skulu vera á umbúðum eða fylgiskjölum þegar egg eru afhent til stóreldhúsa í samræmi við reglur um upplýsingar um matvæli til stóreldhúsa eða til sölu í stykkjatali í smásöluverslunum. (</w:t>
      </w:r>
      <w:r w:rsidRPr="00386BAA">
        <w:t>Reglugerð nr. 1294/2014 um miðlun upplýsinga um matvæli til neytenda).</w:t>
      </w:r>
    </w:p>
  </w:footnote>
  <w:footnote w:id="3">
    <w:p w14:paraId="75F5F1E4" w14:textId="22BC43FE" w:rsidR="00285038" w:rsidRDefault="00285038">
      <w:pPr>
        <w:pStyle w:val="FootnoteText"/>
      </w:pPr>
      <w:r>
        <w:rPr>
          <w:rStyle w:val="FootnoteReference"/>
        </w:rPr>
        <w:footnoteRef/>
      </w:r>
      <w:r>
        <w:t xml:space="preserve"> </w:t>
      </w:r>
      <w:r>
        <w:tab/>
      </w:r>
      <w:r w:rsidRPr="009572D3">
        <w:rPr>
          <w:rFonts w:cstheme="minorHAnsi"/>
          <w:szCs w:val="18"/>
          <w:bdr w:val="none" w:sz="0" w:space="0" w:color="auto" w:frame="1"/>
        </w:rPr>
        <w:t>Bragðefni eru bragðgefandi efni, bragðefnablöndur, hitameðhöndluð bragðefni</w:t>
      </w:r>
      <w:r>
        <w:rPr>
          <w:rFonts w:cstheme="minorHAnsi"/>
          <w:szCs w:val="18"/>
          <w:bdr w:val="none" w:sz="0" w:space="0" w:color="auto" w:frame="1"/>
        </w:rPr>
        <w:t xml:space="preserve">, </w:t>
      </w:r>
      <w:r w:rsidRPr="009572D3">
        <w:rPr>
          <w:rFonts w:cstheme="minorHAnsi"/>
          <w:szCs w:val="18"/>
          <w:bdr w:val="none" w:sz="0" w:space="0" w:color="auto" w:frame="1"/>
        </w:rPr>
        <w:t>reykbragðefni eða blöndur af þeim. Náttúruleg bragðefni einkenna bragð flestra matvæla, en einnig eru til tilbúin bragðefni.</w:t>
      </w:r>
      <w:r>
        <w:rPr>
          <w:rFonts w:cstheme="minorHAnsi"/>
          <w:szCs w:val="18"/>
          <w:bdr w:val="none" w:sz="0" w:space="0" w:color="auto" w:frame="1"/>
        </w:rPr>
        <w:t xml:space="preserve"> </w:t>
      </w:r>
      <w:r w:rsidRPr="009572D3">
        <w:rPr>
          <w:rFonts w:cstheme="minorHAnsi"/>
          <w:szCs w:val="18"/>
          <w:bdr w:val="none" w:sz="0" w:space="0" w:color="auto" w:frame="1"/>
        </w:rPr>
        <w:t>Bragðefni teljast ekki til aukefna og hafa því ekki E-númer. Svokölluð bragðaukandi efni, E-620 til E-640 í aukefnalista, teljast hins</w:t>
      </w:r>
      <w:r>
        <w:rPr>
          <w:rFonts w:cstheme="minorHAnsi"/>
          <w:szCs w:val="18"/>
          <w:bdr w:val="none" w:sz="0" w:space="0" w:color="auto" w:frame="1"/>
        </w:rPr>
        <w:t xml:space="preserve"> </w:t>
      </w:r>
      <w:r w:rsidRPr="009572D3">
        <w:rPr>
          <w:rFonts w:cstheme="minorHAnsi"/>
          <w:szCs w:val="18"/>
          <w:bdr w:val="none" w:sz="0" w:space="0" w:color="auto" w:frame="1"/>
        </w:rPr>
        <w:t>vegar til aukefna.</w:t>
      </w:r>
    </w:p>
  </w:footnote>
  <w:footnote w:id="4">
    <w:p w14:paraId="49610B9B" w14:textId="2B070A15" w:rsidR="00C92301" w:rsidRDefault="00C92301" w:rsidP="00C92301">
      <w:pPr>
        <w:pStyle w:val="FootnoteText"/>
      </w:pPr>
      <w:r>
        <w:rPr>
          <w:rStyle w:val="FootnoteReference"/>
        </w:rPr>
        <w:footnoteRef/>
      </w:r>
      <w:r>
        <w:t xml:space="preserve"> </w:t>
      </w:r>
      <w:r>
        <w:tab/>
        <w:t>Hér er átt við allar mjólkurvörur</w:t>
      </w:r>
      <w:r>
        <w:fldChar w:fldCharType="begin"/>
      </w:r>
      <w:r>
        <w:instrText xml:space="preserve"> "</w:instrText>
      </w:r>
      <w:r w:rsidRPr="003127E7">
        <w:instrText>mjólkurvörur</w:instrText>
      </w:r>
      <w:r>
        <w:instrText xml:space="preserve">" </w:instrText>
      </w:r>
      <w:r>
        <w:fldChar w:fldCharType="end"/>
      </w:r>
      <w:r>
        <w:t xml:space="preserve"> nema ost og smjör, þar á meðal nýmjólk</w:t>
      </w:r>
      <w:r>
        <w:fldChar w:fldCharType="begin"/>
      </w:r>
      <w:r>
        <w:instrText xml:space="preserve"> "</w:instrText>
      </w:r>
      <w:r w:rsidRPr="003127E7">
        <w:instrText>Nýmjólk</w:instrText>
      </w:r>
      <w:r>
        <w:instrText xml:space="preserve">" </w:instrText>
      </w:r>
      <w:r>
        <w:fldChar w:fldCharType="end"/>
      </w:r>
      <w:r>
        <w:t>, léttmjólk</w:t>
      </w:r>
      <w:r>
        <w:fldChar w:fldCharType="begin"/>
      </w:r>
      <w:r>
        <w:instrText xml:space="preserve"> "</w:instrText>
      </w:r>
      <w:r w:rsidRPr="00ED395C">
        <w:rPr>
          <w:lang w:val="en-GB"/>
        </w:rPr>
        <w:instrText>Léttmjólk</w:instrText>
      </w:r>
      <w:r>
        <w:instrText xml:space="preserve">" </w:instrText>
      </w:r>
      <w:r>
        <w:fldChar w:fldCharType="end"/>
      </w:r>
      <w:r>
        <w:fldChar w:fldCharType="begin"/>
      </w:r>
      <w:r>
        <w:instrText xml:space="preserve"> "</w:instrText>
      </w:r>
      <w:r w:rsidRPr="003127E7">
        <w:rPr>
          <w:lang w:val="en-GB"/>
        </w:rPr>
        <w:instrText>Léttmjólk</w:instrText>
      </w:r>
      <w:r>
        <w:instrText xml:space="preserve">" </w:instrText>
      </w:r>
      <w:r>
        <w:fldChar w:fldCharType="end"/>
      </w:r>
      <w:r>
        <w:t>, undanrennu, sýrðar mjólkurvörur, mjólkurgrauta, mjólkursúpur, mjólkurbúðinga og mjólkurduft.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859F2"/>
    <w:multiLevelType w:val="hybridMultilevel"/>
    <w:tmpl w:val="D9F654E8"/>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8D"/>
    <w:rsid w:val="001454ED"/>
    <w:rsid w:val="001F1E02"/>
    <w:rsid w:val="00234A06"/>
    <w:rsid w:val="00285038"/>
    <w:rsid w:val="002B3DF4"/>
    <w:rsid w:val="002D1B5B"/>
    <w:rsid w:val="003217DC"/>
    <w:rsid w:val="00346E14"/>
    <w:rsid w:val="00380532"/>
    <w:rsid w:val="0038722B"/>
    <w:rsid w:val="003F2CC9"/>
    <w:rsid w:val="003F7DD3"/>
    <w:rsid w:val="00410CA4"/>
    <w:rsid w:val="00433FB8"/>
    <w:rsid w:val="00461634"/>
    <w:rsid w:val="00475898"/>
    <w:rsid w:val="00475A8F"/>
    <w:rsid w:val="00484332"/>
    <w:rsid w:val="006400EB"/>
    <w:rsid w:val="00646291"/>
    <w:rsid w:val="006825E7"/>
    <w:rsid w:val="00694D6A"/>
    <w:rsid w:val="00696346"/>
    <w:rsid w:val="006E4BEA"/>
    <w:rsid w:val="00706F99"/>
    <w:rsid w:val="007200D9"/>
    <w:rsid w:val="00744DF7"/>
    <w:rsid w:val="007554D4"/>
    <w:rsid w:val="00762D01"/>
    <w:rsid w:val="00770E41"/>
    <w:rsid w:val="0077362E"/>
    <w:rsid w:val="00796ED4"/>
    <w:rsid w:val="00804887"/>
    <w:rsid w:val="00900125"/>
    <w:rsid w:val="00941249"/>
    <w:rsid w:val="00950C9F"/>
    <w:rsid w:val="009530A1"/>
    <w:rsid w:val="00972F04"/>
    <w:rsid w:val="00A031B4"/>
    <w:rsid w:val="00A07D3A"/>
    <w:rsid w:val="00A22778"/>
    <w:rsid w:val="00A35E66"/>
    <w:rsid w:val="00A47D5E"/>
    <w:rsid w:val="00A82D29"/>
    <w:rsid w:val="00A93441"/>
    <w:rsid w:val="00AA39A9"/>
    <w:rsid w:val="00C344D9"/>
    <w:rsid w:val="00C42811"/>
    <w:rsid w:val="00C65CE7"/>
    <w:rsid w:val="00C84D90"/>
    <w:rsid w:val="00C92301"/>
    <w:rsid w:val="00D753CF"/>
    <w:rsid w:val="00DE5D7D"/>
    <w:rsid w:val="00E17520"/>
    <w:rsid w:val="00F0368D"/>
    <w:rsid w:val="00F657A0"/>
    <w:rsid w:val="00F718D0"/>
    <w:rsid w:val="00F847DF"/>
    <w:rsid w:val="00FC6F12"/>
    <w:rsid w:val="00FF12B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989E"/>
  <w15:chartTrackingRefBased/>
  <w15:docId w15:val="{DEDC073A-AA07-4E15-B68A-8B07E1A9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D4"/>
  </w:style>
  <w:style w:type="paragraph" w:styleId="Heading2">
    <w:name w:val="heading 2"/>
    <w:basedOn w:val="Normal"/>
    <w:next w:val="Normal"/>
    <w:link w:val="Heading2Char"/>
    <w:uiPriority w:val="9"/>
    <w:semiHidden/>
    <w:unhideWhenUsed/>
    <w:qFormat/>
    <w:rsid w:val="00900125"/>
    <w:pPr>
      <w:keepNext/>
      <w:keepLines/>
      <w:spacing w:before="120" w:after="6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1"/>
    <w:basedOn w:val="Normal"/>
    <w:qFormat/>
    <w:rsid w:val="00696346"/>
    <w:pPr>
      <w:spacing w:line="264" w:lineRule="auto"/>
      <w:jc w:val="both"/>
    </w:pPr>
    <w:rPr>
      <w:rFonts w:cs="Frutiger-Roman"/>
      <w:color w:val="000000"/>
      <w:sz w:val="20"/>
    </w:rPr>
  </w:style>
  <w:style w:type="paragraph" w:customStyle="1" w:styleId="Texti-2">
    <w:name w:val="Texti-2"/>
    <w:basedOn w:val="Texti-1"/>
    <w:qFormat/>
    <w:rsid w:val="001F1E02"/>
    <w:pPr>
      <w:ind w:firstLine="567"/>
    </w:pPr>
    <w:rPr>
      <w:lang w:val="en-US"/>
    </w:rPr>
  </w:style>
  <w:style w:type="table" w:styleId="GridTable2-Accent1">
    <w:name w:val="Grid Table 2 Accent 1"/>
    <w:basedOn w:val="TableNormal"/>
    <w:uiPriority w:val="47"/>
    <w:rsid w:val="007554D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Heimildir">
    <w:name w:val="Heimildir"/>
    <w:basedOn w:val="Normal"/>
    <w:qFormat/>
    <w:rsid w:val="003F7DD3"/>
    <w:rPr>
      <w:sz w:val="20"/>
    </w:rPr>
  </w:style>
  <w:style w:type="character" w:customStyle="1" w:styleId="Heading2Char">
    <w:name w:val="Heading 2 Char"/>
    <w:basedOn w:val="DefaultParagraphFont"/>
    <w:link w:val="Heading2"/>
    <w:uiPriority w:val="9"/>
    <w:semiHidden/>
    <w:rsid w:val="00900125"/>
    <w:rPr>
      <w:rFonts w:asciiTheme="majorHAnsi" w:eastAsiaTheme="majorEastAsia" w:hAnsiTheme="majorHAnsi" w:cstheme="majorBidi"/>
      <w:color w:val="2F5496" w:themeColor="accent1" w:themeShade="BF"/>
      <w:sz w:val="24"/>
      <w:szCs w:val="26"/>
    </w:rPr>
  </w:style>
  <w:style w:type="paragraph" w:styleId="FootnoteText">
    <w:name w:val="footnote text"/>
    <w:basedOn w:val="Normal"/>
    <w:link w:val="FootnoteTextChar"/>
    <w:uiPriority w:val="99"/>
    <w:semiHidden/>
    <w:unhideWhenUsed/>
    <w:rsid w:val="00475898"/>
    <w:rPr>
      <w:sz w:val="18"/>
      <w:szCs w:val="20"/>
    </w:rPr>
  </w:style>
  <w:style w:type="character" w:customStyle="1" w:styleId="FootnoteTextChar">
    <w:name w:val="Footnote Text Char"/>
    <w:basedOn w:val="DefaultParagraphFont"/>
    <w:link w:val="FootnoteText"/>
    <w:uiPriority w:val="99"/>
    <w:semiHidden/>
    <w:rsid w:val="00475898"/>
    <w:rPr>
      <w:sz w:val="18"/>
      <w:szCs w:val="20"/>
    </w:rPr>
  </w:style>
  <w:style w:type="character" w:styleId="FootnoteReference">
    <w:name w:val="footnote reference"/>
    <w:basedOn w:val="DefaultParagraphFont"/>
    <w:uiPriority w:val="99"/>
    <w:semiHidden/>
    <w:unhideWhenUsed/>
    <w:rsid w:val="00475898"/>
    <w:rPr>
      <w:vertAlign w:val="superscript"/>
    </w:rPr>
  </w:style>
  <w:style w:type="table" w:styleId="TableGrid">
    <w:name w:val="Table Grid"/>
    <w:basedOn w:val="TableNormal"/>
    <w:uiPriority w:val="39"/>
    <w:rsid w:val="0047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8053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6">
    <w:name w:val="toc 6"/>
    <w:basedOn w:val="Normal"/>
    <w:next w:val="Normal"/>
    <w:autoRedefine/>
    <w:uiPriority w:val="39"/>
    <w:semiHidden/>
    <w:unhideWhenUsed/>
    <w:rsid w:val="001454ED"/>
    <w:rPr>
      <w:sz w:val="20"/>
    </w:rPr>
  </w:style>
  <w:style w:type="paragraph" w:styleId="TOC4">
    <w:name w:val="toc 4"/>
    <w:basedOn w:val="Normal"/>
    <w:next w:val="Normal"/>
    <w:autoRedefine/>
    <w:uiPriority w:val="39"/>
    <w:semiHidden/>
    <w:unhideWhenUsed/>
    <w:rsid w:val="001454ED"/>
    <w:pPr>
      <w:spacing w:after="100"/>
    </w:pPr>
    <w:rPr>
      <w:sz w:val="20"/>
    </w:rPr>
  </w:style>
  <w:style w:type="paragraph" w:styleId="TOC5">
    <w:name w:val="toc 5"/>
    <w:basedOn w:val="Normal"/>
    <w:next w:val="Normal"/>
    <w:autoRedefine/>
    <w:uiPriority w:val="39"/>
    <w:semiHidden/>
    <w:unhideWhenUsed/>
    <w:rsid w:val="001454ED"/>
    <w:pPr>
      <w:spacing w:after="100"/>
    </w:pPr>
    <w:rPr>
      <w:sz w:val="20"/>
    </w:rPr>
  </w:style>
  <w:style w:type="paragraph" w:styleId="TOC7">
    <w:name w:val="toc 7"/>
    <w:basedOn w:val="Normal"/>
    <w:next w:val="Normal"/>
    <w:autoRedefine/>
    <w:uiPriority w:val="39"/>
    <w:semiHidden/>
    <w:unhideWhenUsed/>
    <w:rsid w:val="001454ED"/>
    <w:rPr>
      <w:sz w:val="20"/>
    </w:rPr>
  </w:style>
  <w:style w:type="paragraph" w:styleId="ListParagraph">
    <w:name w:val="List Paragraph"/>
    <w:basedOn w:val="Normal"/>
    <w:uiPriority w:val="34"/>
    <w:qFormat/>
    <w:rsid w:val="002D1B5B"/>
    <w:pPr>
      <w:ind w:left="720"/>
      <w:contextualSpacing/>
    </w:pPr>
  </w:style>
  <w:style w:type="paragraph" w:customStyle="1" w:styleId="Niurst">
    <w:name w:val="Niðurst"/>
    <w:basedOn w:val="Normal"/>
    <w:qFormat/>
    <w:rsid w:val="006400EB"/>
    <w:pPr>
      <w:jc w:val="both"/>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meat-food-power-supply-butcher-shop-2031562/"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ixabay.com/en/eggs-white-basket-breakfast-oval-570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02D19C-0FB6-4845-80F3-D2CAB80F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Base>Haust-20-JG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
  <dc:description>Haust-20-JG</dc:description>
  <cp:lastModifiedBy>Jóhanna Geirsdóttir</cp:lastModifiedBy>
  <cp:revision>13</cp:revision>
  <dcterms:created xsi:type="dcterms:W3CDTF">2020-07-28T12:37:00Z</dcterms:created>
  <dcterms:modified xsi:type="dcterms:W3CDTF">2020-08-02T19:39:00Z</dcterms:modified>
</cp:coreProperties>
</file>