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1833B" w14:textId="287E9C09" w:rsidR="004B41D6" w:rsidRDefault="004B41D6" w:rsidP="005B0BA1">
      <w:r>
        <w:t>Borg</w:t>
      </w:r>
      <w:r w:rsidR="00E82789">
        <w:t>ir</w:t>
      </w:r>
      <w:r w:rsidR="00081131">
        <w:rPr>
          <w:rStyle w:val="FootnoteReference"/>
        </w:rPr>
        <w:footnoteReference w:id="1"/>
      </w:r>
      <w:r w:rsidR="00E82789">
        <w:t xml:space="preserve"> </w:t>
      </w:r>
    </w:p>
    <w:p w14:paraId="34835EE1" w14:textId="1DE5D471" w:rsidR="00D76418" w:rsidRPr="00D76418" w:rsidRDefault="006D2D4B" w:rsidP="00044160">
      <w:r>
        <w:t>Í</w:t>
      </w:r>
      <w:r w:rsidR="00D76418" w:rsidRPr="00D76418">
        <w:t xml:space="preserve"> gegnum aldirnar </w:t>
      </w:r>
      <w:r w:rsidRPr="00D76418">
        <w:t xml:space="preserve">hafa </w:t>
      </w:r>
      <w:r>
        <w:t>b</w:t>
      </w:r>
      <w:r w:rsidRPr="00D76418">
        <w:t xml:space="preserve">orgir </w:t>
      </w:r>
      <w:r w:rsidR="00D76418" w:rsidRPr="00D76418">
        <w:t xml:space="preserve">þróast úr einföldum byggðakjörnum í flókin samfélög sem gegna lykilhlutverki í efnahags- og menningarþróun heimsins. </w:t>
      </w:r>
      <w:r w:rsidR="00597BF9" w:rsidRPr="00C23B31">
        <w:t>Þær eru oft miðstöðvar menningar, viðskipta og stjórnsýslu.</w:t>
      </w:r>
    </w:p>
    <w:p w14:paraId="4982D279" w14:textId="1E1F821E" w:rsidR="00E82789" w:rsidRDefault="00D76418" w:rsidP="005B0BA1">
      <w:r w:rsidRPr="00D76418">
        <w:t xml:space="preserve">Borgir bjóða upp á tækifæri til </w:t>
      </w:r>
      <w:r w:rsidRPr="00B47ACF">
        <w:t>atvinnu</w:t>
      </w:r>
      <w:r w:rsidRPr="00D76418">
        <w:t>, menntunar og nýsköpunar</w:t>
      </w:r>
      <w:r w:rsidR="00B47ACF">
        <w:t>.</w:t>
      </w:r>
      <w:r w:rsidRPr="00D76418">
        <w:t xml:space="preserve"> </w:t>
      </w:r>
      <w:r w:rsidR="00B47ACF">
        <w:t>Þ</w:t>
      </w:r>
      <w:r w:rsidRPr="00D76418">
        <w:t>ær laða að sér fólk með fjölbreytta menningu og lífsstíl. Hins vegar fylgja borgarvexti einnig áskorani</w:t>
      </w:r>
      <w:r w:rsidR="00640BC0">
        <w:t>r.</w:t>
      </w:r>
      <w:r w:rsidR="00597BF9">
        <w:rPr>
          <w:rStyle w:val="FootnoteReference"/>
        </w:rPr>
        <w:footnoteReference w:id="2"/>
      </w:r>
    </w:p>
    <w:p w14:paraId="54E80601" w14:textId="4F742C38" w:rsidR="00B9154E" w:rsidRDefault="00B9154E" w:rsidP="00E82789">
      <w:r w:rsidRPr="00C23B31">
        <w:t>Borgir eru mikilvægar fyrir efnahagslíf og samfélag, þar sem þær bjóða upp á fjölbreytt tækifæri fyrir atvinnu og menntun. Þær eru einnig staðir þar sem nýsköpun og þróun eiga sér stað, sem getur haft jákvæð áhrif á samfélagið í heild sinni.</w:t>
      </w:r>
    </w:p>
    <w:p w14:paraId="2EDBA299" w14:textId="32EA2C26" w:rsidR="00D76418" w:rsidRDefault="00D76418" w:rsidP="005B0BA1">
      <w:r w:rsidRPr="00D76418">
        <w:t xml:space="preserve">Þéttbýli getur leitt til umhverfisvandamála, eins og </w:t>
      </w:r>
      <w:r w:rsidR="00273C15">
        <w:t>t</w:t>
      </w:r>
      <w:r w:rsidR="000B65D1">
        <w:t>il dæmis</w:t>
      </w:r>
      <w:r w:rsidR="00273C15">
        <w:t xml:space="preserve"> </w:t>
      </w:r>
      <w:r w:rsidR="000B65D1" w:rsidRPr="00D76418">
        <w:t xml:space="preserve">mikillar losunar gróðurhúsalofttegunda og </w:t>
      </w:r>
      <w:r w:rsidRPr="00D76418">
        <w:t xml:space="preserve">mengunar. Þá skapast einnig samfélagslegar áskoranir, </w:t>
      </w:r>
      <w:r w:rsidR="006D2D4B">
        <w:t>eins og t.d.</w:t>
      </w:r>
      <w:r w:rsidRPr="00D76418">
        <w:t xml:space="preserve"> húsnæðisskortur og félagsleg mismunun.</w:t>
      </w:r>
    </w:p>
    <w:p w14:paraId="260CCA3D" w14:textId="3FA59FA1" w:rsidR="00044160" w:rsidRPr="00044160" w:rsidRDefault="00044160" w:rsidP="006A0671">
      <w:r>
        <w:t>Sjálfbærar borgir</w:t>
      </w:r>
      <w:r w:rsidR="00640BC0">
        <w:rPr>
          <w:rStyle w:val="FootnoteReference"/>
        </w:rPr>
        <w:footnoteReference w:id="3"/>
      </w:r>
    </w:p>
    <w:p w14:paraId="3AF99EA6" w14:textId="1EABCB5E" w:rsidR="00D76418" w:rsidRPr="00D76418" w:rsidRDefault="00D76418" w:rsidP="00D76418">
      <w:r w:rsidRPr="00D76418">
        <w:t>Til að mæta þessum áskorunum hefur áhersla í auknum mæli verið lögð á „sjálfbærar borgir“ – borgir sem leitast við að samræma hagvöxt, félagslega velferð og umhverfisvernd. Hugmyndin um „snjallborgir“ hefur einnig rutt sér til rúms, þar sem ný tækni er nýtt til að bæta þjónustu, samgöngur og orkunýtingu.</w:t>
      </w:r>
    </w:p>
    <w:p w14:paraId="7050465E" w14:textId="7502EF85" w:rsidR="00F862B6" w:rsidRDefault="000C28A9" w:rsidP="00F62F9A">
      <w:r w:rsidRPr="000C28A9">
        <w:t xml:space="preserve">Borgir eru miðstöðvar menningar, viðskipta og samfélagslegra samskipta. Hver borg hefur sína einstöku sögu, arkitektúr og menningu sem gerir hana sérstaka. </w:t>
      </w:r>
    </w:p>
    <w:p w14:paraId="3E380A26" w14:textId="4226EFFA" w:rsidR="004B41D6" w:rsidRDefault="00F862B6" w:rsidP="00E1770E">
      <w:r>
        <w:t>B</w:t>
      </w:r>
      <w:r w:rsidR="001C7183" w:rsidRPr="001C7183">
        <w:t xml:space="preserve">org er þéttbýli sem greinist frá bæ, þorpi eða hverfi vegna stærðar, þéttleika byggðar, mikilvægis eða lagastöðu. Engin almenn skilgreining er til á því </w:t>
      </w:r>
      <w:r w:rsidR="001C7183" w:rsidRPr="004B41D6">
        <w:t>hversu</w:t>
      </w:r>
      <w:r w:rsidR="001C7183" w:rsidRPr="001C7183">
        <w:t xml:space="preserve"> fjölmenn borg þarf að vera að lágmarki</w:t>
      </w:r>
      <w:r w:rsidR="001C7183">
        <w:t>,</w:t>
      </w:r>
      <w:r w:rsidR="001C7183" w:rsidRPr="001C7183">
        <w:t xml:space="preserve"> en oft er miðað við 100.000 íbúa á samfelldu svæði þar sem þéttleiki byggðar er meiri en 1500 íbúar á ferkílómetra</w:t>
      </w:r>
      <w:r w:rsidR="00E1770E">
        <w:t>.</w:t>
      </w:r>
      <w:r w:rsidR="00E1770E">
        <w:rPr>
          <w:rStyle w:val="FootnoteReference"/>
        </w:rPr>
        <w:footnoteReference w:id="4"/>
      </w:r>
    </w:p>
    <w:p w14:paraId="1A719F35" w14:textId="0CABA5B9" w:rsidR="006F1C7F" w:rsidRDefault="001C7183" w:rsidP="00F62F9A">
      <w:r w:rsidRPr="001C7183">
        <w:t xml:space="preserve">Stundum eru borgir skilgreindar sem stórt þéttbýli með eigin stjórnsýslu þar sem flestir íbúar fást við önnur störf en landbúnaðarstörf. </w:t>
      </w:r>
    </w:p>
    <w:p w14:paraId="387A6130" w14:textId="39BEAFF9" w:rsidR="006F1C7F" w:rsidRDefault="001C7183" w:rsidP="00F62F9A">
      <w:r w:rsidRPr="001C7183">
        <w:t xml:space="preserve">Nútímaborgir þurfa umtalsverða innviði til að geta hýst margt fólk á litlu svæði. Til slíkra innviða teljast löggæsla, vatnsveita, fráveita, sorphirða, samgöngukerfi og samskiptakerfi. </w:t>
      </w:r>
    </w:p>
    <w:p w14:paraId="7E5DC8DC" w14:textId="3301E8E2" w:rsidR="001C7183" w:rsidRPr="001C7183" w:rsidRDefault="001C7183" w:rsidP="00714031">
      <w:r w:rsidRPr="001C7183">
        <w:t>Flestar borgir hafa miðbæjarkjarna, en svefnborgir eru að meira eða minna leyti byggðar upp sem úthverfi annarrar aðliggjandi borgar.</w:t>
      </w:r>
    </w:p>
    <w:p w14:paraId="7ABEF348" w14:textId="6371B161" w:rsidR="001C7183" w:rsidRPr="001C7183" w:rsidRDefault="00F30CA5" w:rsidP="00F62F9A">
      <w:r>
        <w:t>Höfuðborgir</w:t>
      </w:r>
    </w:p>
    <w:p w14:paraId="17789E3A" w14:textId="57B8851E" w:rsidR="002F6DDA" w:rsidRDefault="001C7183" w:rsidP="001C7183">
      <w:r w:rsidRPr="001C7183">
        <w:t xml:space="preserve">Önnur mikilvæg einkenni borga eru staða þeirra sem höfuðborgir og tiltölulega löng samfelld búseta. Höfuðborgir, eins og Aþena, Beijing, Djakarta, Kúala Lúmpúr, London, Maníla, Mexíkóborg, Moskva, Naíróbí, Nýja-Delí, París, Róm, Seúl, Singapúr, Tókýó og Washington-borg eru bæði andlit viðkomandi ríkja og mikilvægur hluti af sjálfsmynd viðkomandi þjóða. </w:t>
      </w:r>
    </w:p>
    <w:p w14:paraId="72D6CB8E" w14:textId="1BAED2D9" w:rsidR="00EA54C4" w:rsidRDefault="001C7183" w:rsidP="00F62F9A">
      <w:r w:rsidRPr="001C7183">
        <w:t>Sögulegar höfuðborgir, eins og Kýótó, Yogyakarta og Xi'an, halda oft mikilvægi sínu þótt þær hafi ekki lengur stöðu höfuðborgar. Jerúsalem, Mekka, Varanasi, Ayodhya, Haridwar og Prayagraj eru dæmi um trúarlegar höfuðborgir sem hafa sérstaka stöðu innan tiltekinna trúarbragða.</w:t>
      </w:r>
    </w:p>
    <w:p w14:paraId="771E3AD1" w14:textId="64F3AA13" w:rsidR="004D7D2A" w:rsidRDefault="004D7D2A" w:rsidP="00F62F9A">
      <w:r>
        <w:t>Heimildir</w:t>
      </w:r>
    </w:p>
    <w:p w14:paraId="3A4806E4" w14:textId="28B72145" w:rsidR="00FF49F0" w:rsidRPr="00D76418" w:rsidRDefault="00FF49F0" w:rsidP="0052316C">
      <w:pPr>
        <w:pStyle w:val="Heimildir"/>
      </w:pPr>
      <w:r w:rsidRPr="00D76418">
        <w:t xml:space="preserve">Batty, M., Axhausen, K. W., Giannotti, F., et al. (2012). Smart cities of the future. </w:t>
      </w:r>
      <w:r w:rsidRPr="00D76418">
        <w:rPr>
          <w:i/>
          <w:iCs/>
        </w:rPr>
        <w:t xml:space="preserve">The European Physical Journal Special </w:t>
      </w:r>
      <w:r w:rsidRPr="00D76418">
        <w:t>Topics, 214(1), 481–518. https://doi.org/10.1140/epjst/e2012-01703-3</w:t>
      </w:r>
    </w:p>
    <w:p w14:paraId="783D222E" w14:textId="4D73E3B3" w:rsidR="00FF49F0" w:rsidRDefault="00FF49F0" w:rsidP="0052316C">
      <w:pPr>
        <w:pStyle w:val="Heimildir"/>
      </w:pPr>
      <w:r>
        <w:t xml:space="preserve">Borg. (2024, 28. desember). </w:t>
      </w:r>
      <w:r w:rsidRPr="001C1956">
        <w:rPr>
          <w:i/>
          <w:iCs/>
        </w:rPr>
        <w:t>Wikipedia, frjálsa alfræðiritið</w:t>
      </w:r>
      <w:r>
        <w:t xml:space="preserve">. </w:t>
      </w:r>
      <w:r w:rsidRPr="00E9787B">
        <w:t>https://is.wikipedia.org/wiki/Borg</w:t>
      </w:r>
    </w:p>
    <w:p w14:paraId="652720ED" w14:textId="4254EC1C" w:rsidR="00957391" w:rsidRPr="000C28A9" w:rsidRDefault="00FF49F0" w:rsidP="0021000F">
      <w:pPr>
        <w:pStyle w:val="Heimildir"/>
      </w:pPr>
      <w:r w:rsidRPr="00D76418">
        <w:t xml:space="preserve">United Nations. (2018). </w:t>
      </w:r>
      <w:r w:rsidRPr="00D76418">
        <w:rPr>
          <w:i/>
          <w:iCs/>
        </w:rPr>
        <w:t>World Urbanization Prospects: The 2018 Revision</w:t>
      </w:r>
      <w:r w:rsidRPr="00D76418">
        <w:t xml:space="preserve">. </w:t>
      </w:r>
      <w:r w:rsidRPr="00E9787B">
        <w:t>https://population.un.org/wup</w:t>
      </w:r>
    </w:p>
    <w:sectPr w:rsidR="00957391" w:rsidRPr="000C28A9" w:rsidSect="007869E6">
      <w:pgSz w:w="11906" w:h="16838" w:code="9"/>
      <w:pgMar w:top="1247"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08067" w14:textId="77777777" w:rsidR="00271E3B" w:rsidRDefault="00271E3B" w:rsidP="00154176">
      <w:r>
        <w:separator/>
      </w:r>
    </w:p>
  </w:endnote>
  <w:endnote w:type="continuationSeparator" w:id="0">
    <w:p w14:paraId="78A712C2" w14:textId="77777777" w:rsidR="00271E3B" w:rsidRDefault="00271E3B" w:rsidP="00154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E1E87" w14:textId="77777777" w:rsidR="00271E3B" w:rsidRDefault="00271E3B" w:rsidP="00154176">
      <w:r>
        <w:separator/>
      </w:r>
    </w:p>
  </w:footnote>
  <w:footnote w:type="continuationSeparator" w:id="0">
    <w:p w14:paraId="5FDBEA91" w14:textId="77777777" w:rsidR="00271E3B" w:rsidRDefault="00271E3B" w:rsidP="00154176">
      <w:r>
        <w:continuationSeparator/>
      </w:r>
    </w:p>
  </w:footnote>
  <w:footnote w:id="1">
    <w:p w14:paraId="31473104" w14:textId="402F5511" w:rsidR="00081131" w:rsidRDefault="00081131">
      <w:pPr>
        <w:pStyle w:val="FootnoteText"/>
      </w:pPr>
      <w:r>
        <w:rPr>
          <w:rStyle w:val="FootnoteReference"/>
        </w:rPr>
        <w:footnoteRef/>
      </w:r>
      <w:r>
        <w:t xml:space="preserve"> </w:t>
      </w:r>
      <w:r>
        <w:tab/>
      </w:r>
      <w:r w:rsidRPr="00D76418">
        <w:t>Í dag búa yfir 55% mannkyns í borgum og búist er við að sú tala fari yfir 68% fyrir miðja 21. öld samkvæmt Sameinuðu þjóðunum.</w:t>
      </w:r>
    </w:p>
  </w:footnote>
  <w:footnote w:id="2">
    <w:p w14:paraId="183D4741" w14:textId="662B4C2F" w:rsidR="00597BF9" w:rsidRDefault="00597BF9">
      <w:pPr>
        <w:pStyle w:val="FootnoteText"/>
      </w:pPr>
      <w:r>
        <w:rPr>
          <w:rStyle w:val="FootnoteReference"/>
        </w:rPr>
        <w:footnoteRef/>
      </w:r>
      <w:r>
        <w:t xml:space="preserve"> </w:t>
      </w:r>
      <w:r>
        <w:tab/>
      </w:r>
      <w:r w:rsidRPr="00C23B31">
        <w:t>Borgir hafa þróast í gegnum aldirnar og eru nú oft með fjölbreytt úrval af þjónustu og innviðum, eins og skóla, sjúkrahús, verslanir og samgöngukerfi.</w:t>
      </w:r>
    </w:p>
  </w:footnote>
  <w:footnote w:id="3">
    <w:p w14:paraId="4FE9AC18" w14:textId="77777777" w:rsidR="00640BC0" w:rsidRPr="007B64FE" w:rsidRDefault="00640BC0" w:rsidP="00640BC0">
      <w:pPr>
        <w:pStyle w:val="FootnoteText"/>
      </w:pPr>
      <w:r>
        <w:rPr>
          <w:rStyle w:val="FootnoteReference"/>
        </w:rPr>
        <w:footnoteRef/>
      </w:r>
      <w:r>
        <w:t xml:space="preserve"> </w:t>
      </w:r>
      <w:r>
        <w:tab/>
      </w:r>
      <w:r w:rsidRPr="007B64FE">
        <w:t>Borgir sem leitast við að samræma hagvöxt, félagslega velferð og umhverfisvernd</w:t>
      </w:r>
      <w:r>
        <w:t>.</w:t>
      </w:r>
    </w:p>
  </w:footnote>
  <w:footnote w:id="4">
    <w:p w14:paraId="6CB25F06" w14:textId="77777777" w:rsidR="00E1770E" w:rsidRDefault="00E1770E" w:rsidP="00E1770E">
      <w:pPr>
        <w:pStyle w:val="FootnoteText"/>
      </w:pPr>
      <w:r>
        <w:rPr>
          <w:rStyle w:val="FootnoteReference"/>
        </w:rPr>
        <w:footnoteRef/>
      </w:r>
      <w:r>
        <w:t xml:space="preserve"> </w:t>
      </w:r>
      <w:r>
        <w:tab/>
      </w:r>
      <w:r w:rsidRPr="001C7183">
        <w:t>Þetta er samt alls ekki algilt viðmið og fjölmörg dæmi um þéttbýli skilgreind sem borgir um víða veröld sem eru miklu fámennari.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F62F0"/>
    <w:multiLevelType w:val="multilevel"/>
    <w:tmpl w:val="B49A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04CE9"/>
    <w:multiLevelType w:val="multilevel"/>
    <w:tmpl w:val="9BBA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9018E8"/>
    <w:multiLevelType w:val="hybridMultilevel"/>
    <w:tmpl w:val="78468908"/>
    <w:lvl w:ilvl="0" w:tplc="91027116">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628563AE"/>
    <w:multiLevelType w:val="hybridMultilevel"/>
    <w:tmpl w:val="A82622EA"/>
    <w:lvl w:ilvl="0" w:tplc="B6E29024">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781418116">
    <w:abstractNumId w:val="3"/>
  </w:num>
  <w:num w:numId="2" w16cid:durableId="24720108">
    <w:abstractNumId w:val="2"/>
  </w:num>
  <w:num w:numId="3" w16cid:durableId="384447396">
    <w:abstractNumId w:val="1"/>
  </w:num>
  <w:num w:numId="4" w16cid:durableId="68969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1B5"/>
    <w:rsid w:val="00023C37"/>
    <w:rsid w:val="00032715"/>
    <w:rsid w:val="00037837"/>
    <w:rsid w:val="00044160"/>
    <w:rsid w:val="000470F0"/>
    <w:rsid w:val="000505D2"/>
    <w:rsid w:val="00051D8D"/>
    <w:rsid w:val="00051F79"/>
    <w:rsid w:val="000548F6"/>
    <w:rsid w:val="00055186"/>
    <w:rsid w:val="00073552"/>
    <w:rsid w:val="00076A22"/>
    <w:rsid w:val="00081131"/>
    <w:rsid w:val="000963B1"/>
    <w:rsid w:val="000A188C"/>
    <w:rsid w:val="000B65D1"/>
    <w:rsid w:val="000C13F7"/>
    <w:rsid w:val="000C28A9"/>
    <w:rsid w:val="000D1728"/>
    <w:rsid w:val="000D244F"/>
    <w:rsid w:val="00107AF9"/>
    <w:rsid w:val="00133F60"/>
    <w:rsid w:val="00154176"/>
    <w:rsid w:val="00175333"/>
    <w:rsid w:val="00184049"/>
    <w:rsid w:val="001854A1"/>
    <w:rsid w:val="001949EB"/>
    <w:rsid w:val="001B3556"/>
    <w:rsid w:val="001B5D01"/>
    <w:rsid w:val="001C1956"/>
    <w:rsid w:val="001C7183"/>
    <w:rsid w:val="001C7A09"/>
    <w:rsid w:val="001E08C5"/>
    <w:rsid w:val="001E6F96"/>
    <w:rsid w:val="001F5351"/>
    <w:rsid w:val="0020296A"/>
    <w:rsid w:val="00205708"/>
    <w:rsid w:val="0021000F"/>
    <w:rsid w:val="0021385A"/>
    <w:rsid w:val="002229D1"/>
    <w:rsid w:val="00223026"/>
    <w:rsid w:val="00223779"/>
    <w:rsid w:val="00224AE9"/>
    <w:rsid w:val="002305A8"/>
    <w:rsid w:val="002342AE"/>
    <w:rsid w:val="00235217"/>
    <w:rsid w:val="00240EE9"/>
    <w:rsid w:val="002418FF"/>
    <w:rsid w:val="00263131"/>
    <w:rsid w:val="002651B5"/>
    <w:rsid w:val="00271E3B"/>
    <w:rsid w:val="00272AC9"/>
    <w:rsid w:val="00273C15"/>
    <w:rsid w:val="00282BAE"/>
    <w:rsid w:val="00283AD1"/>
    <w:rsid w:val="00290D78"/>
    <w:rsid w:val="002A015C"/>
    <w:rsid w:val="002A3579"/>
    <w:rsid w:val="002C2371"/>
    <w:rsid w:val="002C7C42"/>
    <w:rsid w:val="002F48BE"/>
    <w:rsid w:val="002F6DDA"/>
    <w:rsid w:val="00310C46"/>
    <w:rsid w:val="00310EEC"/>
    <w:rsid w:val="003230A7"/>
    <w:rsid w:val="003473B6"/>
    <w:rsid w:val="00355F85"/>
    <w:rsid w:val="00365603"/>
    <w:rsid w:val="0036659E"/>
    <w:rsid w:val="003827D0"/>
    <w:rsid w:val="003A3939"/>
    <w:rsid w:val="003B0228"/>
    <w:rsid w:val="003B568B"/>
    <w:rsid w:val="003C2D57"/>
    <w:rsid w:val="003C7FA6"/>
    <w:rsid w:val="003D0477"/>
    <w:rsid w:val="003E0B6D"/>
    <w:rsid w:val="003E261E"/>
    <w:rsid w:val="003F4886"/>
    <w:rsid w:val="00412CE4"/>
    <w:rsid w:val="004140D9"/>
    <w:rsid w:val="00491DDF"/>
    <w:rsid w:val="0049460F"/>
    <w:rsid w:val="004B41D6"/>
    <w:rsid w:val="004C5808"/>
    <w:rsid w:val="004D7D2A"/>
    <w:rsid w:val="00500CEF"/>
    <w:rsid w:val="0050193E"/>
    <w:rsid w:val="0052316C"/>
    <w:rsid w:val="005304C1"/>
    <w:rsid w:val="00533DB9"/>
    <w:rsid w:val="005549C0"/>
    <w:rsid w:val="0057176A"/>
    <w:rsid w:val="005769F7"/>
    <w:rsid w:val="00577395"/>
    <w:rsid w:val="005807E4"/>
    <w:rsid w:val="00582B4E"/>
    <w:rsid w:val="005845D3"/>
    <w:rsid w:val="0058647D"/>
    <w:rsid w:val="00597BF9"/>
    <w:rsid w:val="005A1B6F"/>
    <w:rsid w:val="005A4FC1"/>
    <w:rsid w:val="005A7CA7"/>
    <w:rsid w:val="005B0BA1"/>
    <w:rsid w:val="005B63DA"/>
    <w:rsid w:val="005E0C02"/>
    <w:rsid w:val="005E6563"/>
    <w:rsid w:val="00603A11"/>
    <w:rsid w:val="00635FCA"/>
    <w:rsid w:val="00640BC0"/>
    <w:rsid w:val="00665FEB"/>
    <w:rsid w:val="0068138E"/>
    <w:rsid w:val="006A0671"/>
    <w:rsid w:val="006A4CFA"/>
    <w:rsid w:val="006A6D33"/>
    <w:rsid w:val="006C575E"/>
    <w:rsid w:val="006D10EB"/>
    <w:rsid w:val="006D2D4B"/>
    <w:rsid w:val="006D4ACE"/>
    <w:rsid w:val="006E0248"/>
    <w:rsid w:val="006E7AEF"/>
    <w:rsid w:val="006F1C7F"/>
    <w:rsid w:val="00712DB3"/>
    <w:rsid w:val="00714031"/>
    <w:rsid w:val="00720FF5"/>
    <w:rsid w:val="00751628"/>
    <w:rsid w:val="007555DF"/>
    <w:rsid w:val="0076358C"/>
    <w:rsid w:val="00763AA9"/>
    <w:rsid w:val="00766592"/>
    <w:rsid w:val="00770F0A"/>
    <w:rsid w:val="007814A8"/>
    <w:rsid w:val="007869E6"/>
    <w:rsid w:val="007905A4"/>
    <w:rsid w:val="00791452"/>
    <w:rsid w:val="007933FA"/>
    <w:rsid w:val="007B64FE"/>
    <w:rsid w:val="007D77A8"/>
    <w:rsid w:val="007E037E"/>
    <w:rsid w:val="007E3681"/>
    <w:rsid w:val="007E78A1"/>
    <w:rsid w:val="008003D4"/>
    <w:rsid w:val="00816C8F"/>
    <w:rsid w:val="00823210"/>
    <w:rsid w:val="00826ED3"/>
    <w:rsid w:val="008320DC"/>
    <w:rsid w:val="00836210"/>
    <w:rsid w:val="0083708D"/>
    <w:rsid w:val="00843AC4"/>
    <w:rsid w:val="00850CC5"/>
    <w:rsid w:val="00860F99"/>
    <w:rsid w:val="0086778F"/>
    <w:rsid w:val="00891D77"/>
    <w:rsid w:val="00894482"/>
    <w:rsid w:val="008C02FD"/>
    <w:rsid w:val="008C3EEE"/>
    <w:rsid w:val="008C6A9F"/>
    <w:rsid w:val="008D4CBF"/>
    <w:rsid w:val="008F17BD"/>
    <w:rsid w:val="008F2B6B"/>
    <w:rsid w:val="00930371"/>
    <w:rsid w:val="009442A1"/>
    <w:rsid w:val="009543D0"/>
    <w:rsid w:val="00957257"/>
    <w:rsid w:val="00957391"/>
    <w:rsid w:val="00990D3F"/>
    <w:rsid w:val="00996024"/>
    <w:rsid w:val="009A5E36"/>
    <w:rsid w:val="009B71D5"/>
    <w:rsid w:val="009C0B30"/>
    <w:rsid w:val="009C0F93"/>
    <w:rsid w:val="00A005C3"/>
    <w:rsid w:val="00A06425"/>
    <w:rsid w:val="00A072B1"/>
    <w:rsid w:val="00A20D30"/>
    <w:rsid w:val="00A43255"/>
    <w:rsid w:val="00A51384"/>
    <w:rsid w:val="00A57296"/>
    <w:rsid w:val="00A6028B"/>
    <w:rsid w:val="00A80BEE"/>
    <w:rsid w:val="00A82B1E"/>
    <w:rsid w:val="00A8487E"/>
    <w:rsid w:val="00AA64FF"/>
    <w:rsid w:val="00AA7FD7"/>
    <w:rsid w:val="00AB3DA4"/>
    <w:rsid w:val="00AB5451"/>
    <w:rsid w:val="00AD21BF"/>
    <w:rsid w:val="00AD3CFA"/>
    <w:rsid w:val="00B27A9D"/>
    <w:rsid w:val="00B47ACF"/>
    <w:rsid w:val="00B52B5B"/>
    <w:rsid w:val="00B72D90"/>
    <w:rsid w:val="00B85E96"/>
    <w:rsid w:val="00B8729C"/>
    <w:rsid w:val="00B907A2"/>
    <w:rsid w:val="00B9154E"/>
    <w:rsid w:val="00B92134"/>
    <w:rsid w:val="00BA6B43"/>
    <w:rsid w:val="00BB377E"/>
    <w:rsid w:val="00BC6B65"/>
    <w:rsid w:val="00BD0A59"/>
    <w:rsid w:val="00C11604"/>
    <w:rsid w:val="00C163AB"/>
    <w:rsid w:val="00C22BC4"/>
    <w:rsid w:val="00C23B31"/>
    <w:rsid w:val="00C40FAD"/>
    <w:rsid w:val="00C45188"/>
    <w:rsid w:val="00C678CA"/>
    <w:rsid w:val="00CA3006"/>
    <w:rsid w:val="00CA3778"/>
    <w:rsid w:val="00CB3CF1"/>
    <w:rsid w:val="00CD10DE"/>
    <w:rsid w:val="00CD780B"/>
    <w:rsid w:val="00CF58A1"/>
    <w:rsid w:val="00D00E76"/>
    <w:rsid w:val="00D0363C"/>
    <w:rsid w:val="00D1590B"/>
    <w:rsid w:val="00D41D89"/>
    <w:rsid w:val="00D44163"/>
    <w:rsid w:val="00D44319"/>
    <w:rsid w:val="00D609AE"/>
    <w:rsid w:val="00D76418"/>
    <w:rsid w:val="00D818B1"/>
    <w:rsid w:val="00D820B3"/>
    <w:rsid w:val="00D85995"/>
    <w:rsid w:val="00D925A3"/>
    <w:rsid w:val="00D94DCD"/>
    <w:rsid w:val="00DA34A1"/>
    <w:rsid w:val="00DB583A"/>
    <w:rsid w:val="00DC2F29"/>
    <w:rsid w:val="00DC421A"/>
    <w:rsid w:val="00DC7EF7"/>
    <w:rsid w:val="00DD13D5"/>
    <w:rsid w:val="00DD2CB1"/>
    <w:rsid w:val="00DD5C4D"/>
    <w:rsid w:val="00DE0344"/>
    <w:rsid w:val="00DE39C7"/>
    <w:rsid w:val="00DE6C1E"/>
    <w:rsid w:val="00DF5676"/>
    <w:rsid w:val="00DF573F"/>
    <w:rsid w:val="00E01751"/>
    <w:rsid w:val="00E039F4"/>
    <w:rsid w:val="00E1770E"/>
    <w:rsid w:val="00E213F1"/>
    <w:rsid w:val="00E4483C"/>
    <w:rsid w:val="00E45692"/>
    <w:rsid w:val="00E60846"/>
    <w:rsid w:val="00E75FB0"/>
    <w:rsid w:val="00E82789"/>
    <w:rsid w:val="00E9787B"/>
    <w:rsid w:val="00EA54C4"/>
    <w:rsid w:val="00EB0677"/>
    <w:rsid w:val="00EB4FE5"/>
    <w:rsid w:val="00ED2EB8"/>
    <w:rsid w:val="00EF246F"/>
    <w:rsid w:val="00EF293F"/>
    <w:rsid w:val="00EF2FDC"/>
    <w:rsid w:val="00EF54AC"/>
    <w:rsid w:val="00F06564"/>
    <w:rsid w:val="00F24DA2"/>
    <w:rsid w:val="00F25868"/>
    <w:rsid w:val="00F30CA5"/>
    <w:rsid w:val="00F55FAC"/>
    <w:rsid w:val="00F608F5"/>
    <w:rsid w:val="00F61A76"/>
    <w:rsid w:val="00F62F9A"/>
    <w:rsid w:val="00F862B6"/>
    <w:rsid w:val="00FB0F60"/>
    <w:rsid w:val="00FB2348"/>
    <w:rsid w:val="00FB3909"/>
    <w:rsid w:val="00FB4F2A"/>
    <w:rsid w:val="00FC66E3"/>
    <w:rsid w:val="00FD348F"/>
    <w:rsid w:val="00FD39BE"/>
    <w:rsid w:val="00FE6DFC"/>
    <w:rsid w:val="00FF49F0"/>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3308D"/>
  <w15:chartTrackingRefBased/>
  <w15:docId w15:val="{3C0D447A-8D2B-49D9-B383-05E47907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Calibri"/>
        <w:lang w:val="is-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FDC"/>
  </w:style>
  <w:style w:type="paragraph" w:styleId="Heading1">
    <w:name w:val="heading 1"/>
    <w:basedOn w:val="Normal"/>
    <w:next w:val="Normal"/>
    <w:link w:val="Heading1Char"/>
    <w:uiPriority w:val="9"/>
    <w:qFormat/>
    <w:rsid w:val="006A0671"/>
    <w:pPr>
      <w:keepNext/>
      <w:keepLines/>
      <w:outlineLvl w:val="0"/>
    </w:pPr>
    <w:rPr>
      <w:rFonts w:asciiTheme="majorHAnsi" w:eastAsiaTheme="majorEastAsia" w:hAnsiTheme="majorHAnsi" w:cstheme="majorBidi"/>
      <w:color w:val="0F4761" w:themeColor="accent1" w:themeShade="BF"/>
      <w:sz w:val="32"/>
      <w:szCs w:val="40"/>
    </w:rPr>
  </w:style>
  <w:style w:type="paragraph" w:styleId="Heading2">
    <w:name w:val="heading 2"/>
    <w:basedOn w:val="Normal"/>
    <w:next w:val="Normal"/>
    <w:link w:val="Heading2Char"/>
    <w:uiPriority w:val="9"/>
    <w:unhideWhenUsed/>
    <w:qFormat/>
    <w:rsid w:val="006A0671"/>
    <w:pPr>
      <w:keepNext/>
      <w:keepLines/>
      <w:outlineLvl w:val="1"/>
    </w:pPr>
    <w:rPr>
      <w:rFonts w:asciiTheme="majorHAnsi" w:eastAsiaTheme="majorEastAsia" w:hAnsiTheme="majorHAnsi" w:cstheme="majorBidi"/>
      <w:color w:val="0F4761" w:themeColor="accent1" w:themeShade="BF"/>
      <w:sz w:val="28"/>
      <w:szCs w:val="32"/>
    </w:rPr>
  </w:style>
  <w:style w:type="paragraph" w:styleId="Heading3">
    <w:name w:val="heading 3"/>
    <w:basedOn w:val="Normal"/>
    <w:next w:val="Normal"/>
    <w:link w:val="Heading3Char"/>
    <w:uiPriority w:val="9"/>
    <w:semiHidden/>
    <w:unhideWhenUsed/>
    <w:qFormat/>
    <w:rsid w:val="002651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1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651B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651B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51B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51B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51B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671"/>
    <w:rPr>
      <w:rFonts w:asciiTheme="majorHAnsi" w:eastAsiaTheme="majorEastAsia" w:hAnsiTheme="majorHAnsi" w:cstheme="majorBidi"/>
      <w:color w:val="0F4761" w:themeColor="accent1" w:themeShade="BF"/>
      <w:sz w:val="32"/>
      <w:szCs w:val="40"/>
    </w:rPr>
  </w:style>
  <w:style w:type="character" w:customStyle="1" w:styleId="Heading2Char">
    <w:name w:val="Heading 2 Char"/>
    <w:basedOn w:val="DefaultParagraphFont"/>
    <w:link w:val="Heading2"/>
    <w:uiPriority w:val="9"/>
    <w:rsid w:val="006A0671"/>
    <w:rPr>
      <w:rFonts w:asciiTheme="majorHAnsi" w:eastAsiaTheme="majorEastAsia" w:hAnsiTheme="majorHAnsi" w:cstheme="majorBidi"/>
      <w:color w:val="0F4761" w:themeColor="accent1" w:themeShade="BF"/>
      <w:sz w:val="28"/>
      <w:szCs w:val="32"/>
    </w:rPr>
  </w:style>
  <w:style w:type="character" w:customStyle="1" w:styleId="Heading3Char">
    <w:name w:val="Heading 3 Char"/>
    <w:basedOn w:val="DefaultParagraphFont"/>
    <w:link w:val="Heading3"/>
    <w:uiPriority w:val="9"/>
    <w:semiHidden/>
    <w:rsid w:val="002651B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1B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651B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651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51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51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51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51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1B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1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651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51B5"/>
    <w:rPr>
      <w:i/>
      <w:iCs/>
      <w:color w:val="404040" w:themeColor="text1" w:themeTint="BF"/>
    </w:rPr>
  </w:style>
  <w:style w:type="paragraph" w:styleId="ListParagraph">
    <w:name w:val="List Paragraph"/>
    <w:basedOn w:val="Normal"/>
    <w:uiPriority w:val="34"/>
    <w:qFormat/>
    <w:rsid w:val="002651B5"/>
    <w:pPr>
      <w:ind w:left="720"/>
      <w:contextualSpacing/>
    </w:pPr>
  </w:style>
  <w:style w:type="character" w:styleId="IntenseEmphasis">
    <w:name w:val="Intense Emphasis"/>
    <w:basedOn w:val="DefaultParagraphFont"/>
    <w:uiPriority w:val="21"/>
    <w:qFormat/>
    <w:rsid w:val="002651B5"/>
    <w:rPr>
      <w:i/>
      <w:iCs/>
      <w:color w:val="0F4761" w:themeColor="accent1" w:themeShade="BF"/>
    </w:rPr>
  </w:style>
  <w:style w:type="paragraph" w:styleId="IntenseQuote">
    <w:name w:val="Intense Quote"/>
    <w:basedOn w:val="Normal"/>
    <w:next w:val="Normal"/>
    <w:link w:val="IntenseQuoteChar"/>
    <w:uiPriority w:val="30"/>
    <w:qFormat/>
    <w:rsid w:val="00265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1B5"/>
    <w:rPr>
      <w:i/>
      <w:iCs/>
      <w:color w:val="0F4761" w:themeColor="accent1" w:themeShade="BF"/>
    </w:rPr>
  </w:style>
  <w:style w:type="character" w:styleId="IntenseReference">
    <w:name w:val="Intense Reference"/>
    <w:basedOn w:val="DefaultParagraphFont"/>
    <w:uiPriority w:val="32"/>
    <w:qFormat/>
    <w:rsid w:val="002651B5"/>
    <w:rPr>
      <w:b/>
      <w:bCs/>
      <w:smallCaps/>
      <w:color w:val="0F4761" w:themeColor="accent1" w:themeShade="BF"/>
      <w:spacing w:val="5"/>
    </w:rPr>
  </w:style>
  <w:style w:type="paragraph" w:styleId="FootnoteText">
    <w:name w:val="footnote text"/>
    <w:basedOn w:val="Normal"/>
    <w:link w:val="FootnoteTextChar"/>
    <w:uiPriority w:val="99"/>
    <w:semiHidden/>
    <w:unhideWhenUsed/>
    <w:rsid w:val="007D77A8"/>
    <w:rPr>
      <w:sz w:val="18"/>
    </w:rPr>
  </w:style>
  <w:style w:type="character" w:customStyle="1" w:styleId="FootnoteTextChar">
    <w:name w:val="Footnote Text Char"/>
    <w:basedOn w:val="DefaultParagraphFont"/>
    <w:link w:val="FootnoteText"/>
    <w:uiPriority w:val="99"/>
    <w:semiHidden/>
    <w:rsid w:val="007D77A8"/>
    <w:rPr>
      <w:sz w:val="18"/>
    </w:rPr>
  </w:style>
  <w:style w:type="character" w:styleId="FootnoteReference">
    <w:name w:val="footnote reference"/>
    <w:basedOn w:val="DefaultParagraphFont"/>
    <w:uiPriority w:val="99"/>
    <w:semiHidden/>
    <w:unhideWhenUsed/>
    <w:rsid w:val="00154176"/>
    <w:rPr>
      <w:vertAlign w:val="superscript"/>
    </w:rPr>
  </w:style>
  <w:style w:type="character" w:styleId="Hyperlink">
    <w:name w:val="Hyperlink"/>
    <w:basedOn w:val="DefaultParagraphFont"/>
    <w:uiPriority w:val="99"/>
    <w:unhideWhenUsed/>
    <w:rsid w:val="0086778F"/>
    <w:rPr>
      <w:color w:val="467886" w:themeColor="hyperlink"/>
      <w:u w:val="single"/>
    </w:rPr>
  </w:style>
  <w:style w:type="character" w:styleId="UnresolvedMention">
    <w:name w:val="Unresolved Mention"/>
    <w:basedOn w:val="DefaultParagraphFont"/>
    <w:uiPriority w:val="99"/>
    <w:semiHidden/>
    <w:unhideWhenUsed/>
    <w:rsid w:val="0086778F"/>
    <w:rPr>
      <w:color w:val="605E5C"/>
      <w:shd w:val="clear" w:color="auto" w:fill="E1DFDD"/>
    </w:rPr>
  </w:style>
  <w:style w:type="character" w:styleId="FollowedHyperlink">
    <w:name w:val="FollowedHyperlink"/>
    <w:basedOn w:val="DefaultParagraphFont"/>
    <w:uiPriority w:val="99"/>
    <w:semiHidden/>
    <w:unhideWhenUsed/>
    <w:rsid w:val="00D1590B"/>
    <w:rPr>
      <w:color w:val="96607D" w:themeColor="followedHyperlink"/>
      <w:u w:val="single"/>
    </w:rPr>
  </w:style>
  <w:style w:type="paragraph" w:customStyle="1" w:styleId="Heimildir">
    <w:name w:val="Heimildir"/>
    <w:basedOn w:val="Normal"/>
    <w:qFormat/>
    <w:rsid w:val="00770F0A"/>
  </w:style>
  <w:style w:type="paragraph" w:styleId="Header">
    <w:name w:val="header"/>
    <w:basedOn w:val="Normal"/>
    <w:link w:val="HeaderChar"/>
    <w:uiPriority w:val="99"/>
    <w:unhideWhenUsed/>
    <w:rsid w:val="004C5808"/>
    <w:pPr>
      <w:tabs>
        <w:tab w:val="center" w:pos="4513"/>
        <w:tab w:val="right" w:pos="9026"/>
      </w:tabs>
    </w:pPr>
    <w:rPr>
      <w:sz w:val="18"/>
    </w:rPr>
  </w:style>
  <w:style w:type="character" w:customStyle="1" w:styleId="HeaderChar">
    <w:name w:val="Header Char"/>
    <w:basedOn w:val="DefaultParagraphFont"/>
    <w:link w:val="Header"/>
    <w:uiPriority w:val="99"/>
    <w:rsid w:val="004C5808"/>
    <w:rPr>
      <w:sz w:val="18"/>
    </w:rPr>
  </w:style>
  <w:style w:type="paragraph" w:styleId="Footer">
    <w:name w:val="footer"/>
    <w:basedOn w:val="Normal"/>
    <w:link w:val="FooterChar"/>
    <w:uiPriority w:val="99"/>
    <w:unhideWhenUsed/>
    <w:rsid w:val="004C5808"/>
    <w:pPr>
      <w:tabs>
        <w:tab w:val="center" w:pos="4513"/>
        <w:tab w:val="right" w:pos="9026"/>
      </w:tabs>
    </w:pPr>
  </w:style>
  <w:style w:type="character" w:customStyle="1" w:styleId="FooterChar">
    <w:name w:val="Footer Char"/>
    <w:basedOn w:val="DefaultParagraphFont"/>
    <w:link w:val="Footer"/>
    <w:uiPriority w:val="99"/>
    <w:rsid w:val="004C5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39677">
      <w:bodyDiv w:val="1"/>
      <w:marLeft w:val="0"/>
      <w:marRight w:val="0"/>
      <w:marTop w:val="0"/>
      <w:marBottom w:val="0"/>
      <w:divBdr>
        <w:top w:val="none" w:sz="0" w:space="0" w:color="auto"/>
        <w:left w:val="none" w:sz="0" w:space="0" w:color="auto"/>
        <w:bottom w:val="none" w:sz="0" w:space="0" w:color="auto"/>
        <w:right w:val="none" w:sz="0" w:space="0" w:color="auto"/>
      </w:divBdr>
    </w:div>
    <w:div w:id="871697975">
      <w:bodyDiv w:val="1"/>
      <w:marLeft w:val="0"/>
      <w:marRight w:val="0"/>
      <w:marTop w:val="0"/>
      <w:marBottom w:val="0"/>
      <w:divBdr>
        <w:top w:val="none" w:sz="0" w:space="0" w:color="auto"/>
        <w:left w:val="none" w:sz="0" w:space="0" w:color="auto"/>
        <w:bottom w:val="none" w:sz="0" w:space="0" w:color="auto"/>
        <w:right w:val="none" w:sz="0" w:space="0" w:color="auto"/>
      </w:divBdr>
      <w:divsChild>
        <w:div w:id="2087608785">
          <w:marLeft w:val="0"/>
          <w:marRight w:val="0"/>
          <w:marTop w:val="0"/>
          <w:marBottom w:val="0"/>
          <w:divBdr>
            <w:top w:val="none" w:sz="0" w:space="0" w:color="auto"/>
            <w:left w:val="none" w:sz="0" w:space="0" w:color="auto"/>
            <w:bottom w:val="none" w:sz="0" w:space="0" w:color="auto"/>
            <w:right w:val="none" w:sz="0" w:space="0" w:color="auto"/>
          </w:divBdr>
        </w:div>
        <w:div w:id="1146970197">
          <w:marLeft w:val="0"/>
          <w:marRight w:val="0"/>
          <w:marTop w:val="0"/>
          <w:marBottom w:val="0"/>
          <w:divBdr>
            <w:top w:val="none" w:sz="0" w:space="0" w:color="auto"/>
            <w:left w:val="none" w:sz="0" w:space="0" w:color="auto"/>
            <w:bottom w:val="none" w:sz="0" w:space="0" w:color="auto"/>
            <w:right w:val="none" w:sz="0" w:space="0" w:color="auto"/>
          </w:divBdr>
        </w:div>
        <w:div w:id="166601922">
          <w:marLeft w:val="0"/>
          <w:marRight w:val="0"/>
          <w:marTop w:val="0"/>
          <w:marBottom w:val="0"/>
          <w:divBdr>
            <w:top w:val="none" w:sz="0" w:space="0" w:color="auto"/>
            <w:left w:val="none" w:sz="0" w:space="0" w:color="auto"/>
            <w:bottom w:val="none" w:sz="0" w:space="0" w:color="auto"/>
            <w:right w:val="none" w:sz="0" w:space="0" w:color="auto"/>
          </w:divBdr>
          <w:divsChild>
            <w:div w:id="1264848408">
              <w:marLeft w:val="0"/>
              <w:marRight w:val="0"/>
              <w:marTop w:val="0"/>
              <w:marBottom w:val="0"/>
              <w:divBdr>
                <w:top w:val="none" w:sz="0" w:space="0" w:color="auto"/>
                <w:left w:val="none" w:sz="0" w:space="0" w:color="auto"/>
                <w:bottom w:val="none" w:sz="0" w:space="0" w:color="auto"/>
                <w:right w:val="none" w:sz="0" w:space="0" w:color="auto"/>
              </w:divBdr>
            </w:div>
            <w:div w:id="882131631">
              <w:marLeft w:val="0"/>
              <w:marRight w:val="0"/>
              <w:marTop w:val="0"/>
              <w:marBottom w:val="0"/>
              <w:divBdr>
                <w:top w:val="none" w:sz="0" w:space="0" w:color="auto"/>
                <w:left w:val="none" w:sz="0" w:space="0" w:color="auto"/>
                <w:bottom w:val="none" w:sz="0" w:space="0" w:color="auto"/>
                <w:right w:val="none" w:sz="0" w:space="0" w:color="auto"/>
              </w:divBdr>
            </w:div>
            <w:div w:id="141793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29611">
      <w:bodyDiv w:val="1"/>
      <w:marLeft w:val="0"/>
      <w:marRight w:val="0"/>
      <w:marTop w:val="0"/>
      <w:marBottom w:val="0"/>
      <w:divBdr>
        <w:top w:val="none" w:sz="0" w:space="0" w:color="auto"/>
        <w:left w:val="none" w:sz="0" w:space="0" w:color="auto"/>
        <w:bottom w:val="none" w:sz="0" w:space="0" w:color="auto"/>
        <w:right w:val="none" w:sz="0" w:space="0" w:color="auto"/>
      </w:divBdr>
      <w:divsChild>
        <w:div w:id="1896578315">
          <w:marLeft w:val="0"/>
          <w:marRight w:val="0"/>
          <w:marTop w:val="0"/>
          <w:marBottom w:val="0"/>
          <w:divBdr>
            <w:top w:val="none" w:sz="0" w:space="0" w:color="auto"/>
            <w:left w:val="none" w:sz="0" w:space="0" w:color="auto"/>
            <w:bottom w:val="none" w:sz="0" w:space="0" w:color="auto"/>
            <w:right w:val="none" w:sz="0" w:space="0" w:color="auto"/>
          </w:divBdr>
        </w:div>
        <w:div w:id="873805415">
          <w:marLeft w:val="0"/>
          <w:marRight w:val="0"/>
          <w:marTop w:val="0"/>
          <w:marBottom w:val="0"/>
          <w:divBdr>
            <w:top w:val="none" w:sz="0" w:space="0" w:color="auto"/>
            <w:left w:val="none" w:sz="0" w:space="0" w:color="auto"/>
            <w:bottom w:val="none" w:sz="0" w:space="0" w:color="auto"/>
            <w:right w:val="none" w:sz="0" w:space="0" w:color="auto"/>
          </w:divBdr>
        </w:div>
        <w:div w:id="502282225">
          <w:marLeft w:val="0"/>
          <w:marRight w:val="0"/>
          <w:marTop w:val="0"/>
          <w:marBottom w:val="0"/>
          <w:divBdr>
            <w:top w:val="none" w:sz="0" w:space="0" w:color="auto"/>
            <w:left w:val="none" w:sz="0" w:space="0" w:color="auto"/>
            <w:bottom w:val="none" w:sz="0" w:space="0" w:color="auto"/>
            <w:right w:val="none" w:sz="0" w:space="0" w:color="auto"/>
          </w:divBdr>
          <w:divsChild>
            <w:div w:id="668557307">
              <w:marLeft w:val="0"/>
              <w:marRight w:val="0"/>
              <w:marTop w:val="0"/>
              <w:marBottom w:val="0"/>
              <w:divBdr>
                <w:top w:val="none" w:sz="0" w:space="0" w:color="auto"/>
                <w:left w:val="none" w:sz="0" w:space="0" w:color="auto"/>
                <w:bottom w:val="none" w:sz="0" w:space="0" w:color="auto"/>
                <w:right w:val="none" w:sz="0" w:space="0" w:color="auto"/>
              </w:divBdr>
            </w:div>
            <w:div w:id="12974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04440">
      <w:bodyDiv w:val="1"/>
      <w:marLeft w:val="0"/>
      <w:marRight w:val="0"/>
      <w:marTop w:val="0"/>
      <w:marBottom w:val="0"/>
      <w:divBdr>
        <w:top w:val="none" w:sz="0" w:space="0" w:color="auto"/>
        <w:left w:val="none" w:sz="0" w:space="0" w:color="auto"/>
        <w:bottom w:val="none" w:sz="0" w:space="0" w:color="auto"/>
        <w:right w:val="none" w:sz="0" w:space="0" w:color="auto"/>
      </w:divBdr>
      <w:divsChild>
        <w:div w:id="443886335">
          <w:marLeft w:val="0"/>
          <w:marRight w:val="0"/>
          <w:marTop w:val="0"/>
          <w:marBottom w:val="0"/>
          <w:divBdr>
            <w:top w:val="none" w:sz="0" w:space="0" w:color="auto"/>
            <w:left w:val="none" w:sz="0" w:space="0" w:color="auto"/>
            <w:bottom w:val="none" w:sz="0" w:space="0" w:color="auto"/>
            <w:right w:val="none" w:sz="0" w:space="0" w:color="auto"/>
          </w:divBdr>
        </w:div>
        <w:div w:id="372508145">
          <w:marLeft w:val="0"/>
          <w:marRight w:val="0"/>
          <w:marTop w:val="0"/>
          <w:marBottom w:val="0"/>
          <w:divBdr>
            <w:top w:val="none" w:sz="0" w:space="0" w:color="auto"/>
            <w:left w:val="none" w:sz="0" w:space="0" w:color="auto"/>
            <w:bottom w:val="none" w:sz="0" w:space="0" w:color="auto"/>
            <w:right w:val="none" w:sz="0" w:space="0" w:color="auto"/>
          </w:divBdr>
        </w:div>
        <w:div w:id="1098478502">
          <w:marLeft w:val="0"/>
          <w:marRight w:val="0"/>
          <w:marTop w:val="0"/>
          <w:marBottom w:val="0"/>
          <w:divBdr>
            <w:top w:val="none" w:sz="0" w:space="0" w:color="auto"/>
            <w:left w:val="none" w:sz="0" w:space="0" w:color="auto"/>
            <w:bottom w:val="none" w:sz="0" w:space="0" w:color="auto"/>
            <w:right w:val="none" w:sz="0" w:space="0" w:color="auto"/>
          </w:divBdr>
          <w:divsChild>
            <w:div w:id="188224892">
              <w:marLeft w:val="0"/>
              <w:marRight w:val="0"/>
              <w:marTop w:val="0"/>
              <w:marBottom w:val="0"/>
              <w:divBdr>
                <w:top w:val="none" w:sz="0" w:space="0" w:color="auto"/>
                <w:left w:val="none" w:sz="0" w:space="0" w:color="auto"/>
                <w:bottom w:val="none" w:sz="0" w:space="0" w:color="auto"/>
                <w:right w:val="none" w:sz="0" w:space="0" w:color="auto"/>
              </w:divBdr>
            </w:div>
            <w:div w:id="8856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10957">
      <w:bodyDiv w:val="1"/>
      <w:marLeft w:val="0"/>
      <w:marRight w:val="0"/>
      <w:marTop w:val="0"/>
      <w:marBottom w:val="0"/>
      <w:divBdr>
        <w:top w:val="none" w:sz="0" w:space="0" w:color="auto"/>
        <w:left w:val="none" w:sz="0" w:space="0" w:color="auto"/>
        <w:bottom w:val="none" w:sz="0" w:space="0" w:color="auto"/>
        <w:right w:val="none" w:sz="0" w:space="0" w:color="auto"/>
      </w:divBdr>
    </w:div>
    <w:div w:id="1245189185">
      <w:bodyDiv w:val="1"/>
      <w:marLeft w:val="0"/>
      <w:marRight w:val="0"/>
      <w:marTop w:val="0"/>
      <w:marBottom w:val="0"/>
      <w:divBdr>
        <w:top w:val="none" w:sz="0" w:space="0" w:color="auto"/>
        <w:left w:val="none" w:sz="0" w:space="0" w:color="auto"/>
        <w:bottom w:val="none" w:sz="0" w:space="0" w:color="auto"/>
        <w:right w:val="none" w:sz="0" w:space="0" w:color="auto"/>
      </w:divBdr>
      <w:divsChild>
        <w:div w:id="1236934454">
          <w:marLeft w:val="0"/>
          <w:marRight w:val="0"/>
          <w:marTop w:val="0"/>
          <w:marBottom w:val="0"/>
          <w:divBdr>
            <w:top w:val="none" w:sz="0" w:space="0" w:color="auto"/>
            <w:left w:val="none" w:sz="0" w:space="0" w:color="auto"/>
            <w:bottom w:val="none" w:sz="0" w:space="0" w:color="auto"/>
            <w:right w:val="none" w:sz="0" w:space="0" w:color="auto"/>
          </w:divBdr>
        </w:div>
        <w:div w:id="1571650015">
          <w:marLeft w:val="0"/>
          <w:marRight w:val="0"/>
          <w:marTop w:val="0"/>
          <w:marBottom w:val="0"/>
          <w:divBdr>
            <w:top w:val="none" w:sz="0" w:space="0" w:color="auto"/>
            <w:left w:val="none" w:sz="0" w:space="0" w:color="auto"/>
            <w:bottom w:val="none" w:sz="0" w:space="0" w:color="auto"/>
            <w:right w:val="none" w:sz="0" w:space="0" w:color="auto"/>
          </w:divBdr>
        </w:div>
        <w:div w:id="1851025260">
          <w:marLeft w:val="0"/>
          <w:marRight w:val="0"/>
          <w:marTop w:val="0"/>
          <w:marBottom w:val="0"/>
          <w:divBdr>
            <w:top w:val="none" w:sz="0" w:space="0" w:color="auto"/>
            <w:left w:val="none" w:sz="0" w:space="0" w:color="auto"/>
            <w:bottom w:val="none" w:sz="0" w:space="0" w:color="auto"/>
            <w:right w:val="none" w:sz="0" w:space="0" w:color="auto"/>
          </w:divBdr>
          <w:divsChild>
            <w:div w:id="2037415420">
              <w:marLeft w:val="0"/>
              <w:marRight w:val="0"/>
              <w:marTop w:val="0"/>
              <w:marBottom w:val="0"/>
              <w:divBdr>
                <w:top w:val="none" w:sz="0" w:space="0" w:color="auto"/>
                <w:left w:val="none" w:sz="0" w:space="0" w:color="auto"/>
                <w:bottom w:val="none" w:sz="0" w:space="0" w:color="auto"/>
                <w:right w:val="none" w:sz="0" w:space="0" w:color="auto"/>
              </w:divBdr>
            </w:div>
            <w:div w:id="1732843036">
              <w:marLeft w:val="0"/>
              <w:marRight w:val="0"/>
              <w:marTop w:val="0"/>
              <w:marBottom w:val="0"/>
              <w:divBdr>
                <w:top w:val="none" w:sz="0" w:space="0" w:color="auto"/>
                <w:left w:val="none" w:sz="0" w:space="0" w:color="auto"/>
                <w:bottom w:val="none" w:sz="0" w:space="0" w:color="auto"/>
                <w:right w:val="none" w:sz="0" w:space="0" w:color="auto"/>
              </w:divBdr>
            </w:div>
            <w:div w:id="88888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6641">
      <w:bodyDiv w:val="1"/>
      <w:marLeft w:val="0"/>
      <w:marRight w:val="0"/>
      <w:marTop w:val="0"/>
      <w:marBottom w:val="0"/>
      <w:divBdr>
        <w:top w:val="none" w:sz="0" w:space="0" w:color="auto"/>
        <w:left w:val="none" w:sz="0" w:space="0" w:color="auto"/>
        <w:bottom w:val="none" w:sz="0" w:space="0" w:color="auto"/>
        <w:right w:val="none" w:sz="0" w:space="0" w:color="auto"/>
      </w:divBdr>
    </w:div>
    <w:div w:id="188239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489E3-4E80-4328-82F1-8E92F76EA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26V</vt:lpstr>
    </vt:vector>
  </TitlesOfParts>
  <Manager>johanna@johanna.is</Manager>
  <Company>H26</Company>
  <LinksUpToDate>false</LinksUpToDate>
  <CharactersWithSpaces>3142</CharactersWithSpaces>
  <SharedDoc>false</SharedDoc>
  <HyperlinkBase>H26</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H26</dc:title>
  <dc:subject>H26</dc:subject>
  <dc:creator>johanna@johanna.is</dc:creator>
  <cp:keywords>H26</cp:keywords>
  <dc:description>H26</dc:description>
  <cp:lastModifiedBy>Jóhanna Geirsdóttir</cp:lastModifiedBy>
  <cp:revision>11</cp:revision>
  <cp:lastPrinted>2025-06-04T14:41:00Z</cp:lastPrinted>
  <dcterms:created xsi:type="dcterms:W3CDTF">2025-06-09T11:17:00Z</dcterms:created>
  <dcterms:modified xsi:type="dcterms:W3CDTF">2026-07-04T18:53:00Z</dcterms:modified>
  <cp:category>H26</cp:category>
  <cp:contentStatus>H26</cp:contentStatus>
</cp:coreProperties>
</file>